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JPG" ContentType="image/.jp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B1B0556">
      <w:pPr>
        <w:ind w:left="-220" w:leftChars="-100"/>
        <w:rPr>
          <w:rFonts w:ascii="Arial" w:hAnsi="Arial" w:eastAsia="Calibri" w:cs="Arial"/>
          <w:b/>
          <w:bCs/>
          <w:sz w:val="28"/>
          <w:szCs w:val="28"/>
          <w:highlight w:val="red"/>
          <w:lang w:eastAsia="en-US"/>
        </w:rPr>
      </w:pPr>
    </w:p>
    <w:p w14:paraId="6A79485A">
      <w:pPr>
        <w:ind w:left="-220" w:leftChars="-100"/>
        <w:jc w:val="center"/>
        <w:rPr>
          <w:rFonts w:ascii="Arial" w:hAnsi="Arial" w:eastAsia="Calibri" w:cs="Arial"/>
          <w:b/>
          <w:bCs/>
          <w:sz w:val="24"/>
          <w:szCs w:val="24"/>
          <w:lang w:eastAsia="en-US"/>
        </w:rPr>
      </w:pPr>
      <w:r>
        <w:rPr>
          <w:rFonts w:ascii="Arial" w:hAnsi="Arial" w:eastAsia="Calibri" w:cs="Arial"/>
          <w:b/>
          <w:bCs/>
          <w:sz w:val="24"/>
          <w:szCs w:val="24"/>
          <w:lang w:eastAsia="en-US"/>
        </w:rPr>
        <w:t xml:space="preserve">PORTARIA N° </w:t>
      </w:r>
      <w:r>
        <w:rPr>
          <w:rFonts w:hint="default" w:ascii="Arial" w:hAnsi="Arial" w:eastAsia="Calibri" w:cs="Arial"/>
          <w:b/>
          <w:bCs/>
          <w:sz w:val="24"/>
          <w:szCs w:val="24"/>
          <w:lang w:val="pt-BR" w:eastAsia="en-US"/>
        </w:rPr>
        <w:t>049/</w:t>
      </w:r>
      <w:bookmarkStart w:id="0" w:name="_GoBack"/>
      <w:bookmarkEnd w:id="0"/>
      <w:r>
        <w:rPr>
          <w:rFonts w:ascii="Arial" w:hAnsi="Arial" w:eastAsia="Calibri" w:cs="Arial"/>
          <w:b/>
          <w:bCs/>
          <w:sz w:val="24"/>
          <w:szCs w:val="24"/>
          <w:lang w:eastAsia="en-US"/>
        </w:rPr>
        <w:t>2024</w:t>
      </w:r>
    </w:p>
    <w:p w14:paraId="39A02FA9">
      <w:pPr>
        <w:spacing w:after="0" w:line="240" w:lineRule="auto"/>
        <w:jc w:val="both"/>
        <w:rPr>
          <w:rFonts w:ascii="Arial" w:hAnsi="Arial" w:eastAsia="Calibri" w:cs="Arial"/>
          <w:sz w:val="24"/>
          <w:szCs w:val="24"/>
          <w:lang w:eastAsia="en-US"/>
        </w:rPr>
      </w:pPr>
      <w:r>
        <w:rPr>
          <w:rFonts w:ascii="Arial" w:hAnsi="Arial" w:eastAsia="Calibri" w:cs="Arial"/>
          <w:sz w:val="24"/>
          <w:szCs w:val="24"/>
          <w:lang w:eastAsia="en-US"/>
        </w:rPr>
        <w:t>A Secretaria Executiva de Turismo, de Cultura e de Lazer no uso de suas atribuições legais e regimentais, em consonância com o disposto no Art. 6º, II da Lei Complementar Municipal nº 38/2021, e em atenção a Lei Federal nº. 14.133/2021, e normativos municipais.</w:t>
      </w:r>
    </w:p>
    <w:p w14:paraId="3950FE64">
      <w:pPr>
        <w:spacing w:after="0" w:line="240" w:lineRule="auto"/>
        <w:jc w:val="both"/>
        <w:rPr>
          <w:rFonts w:ascii="Arial" w:hAnsi="Arial" w:eastAsia="Calibri" w:cs="Arial"/>
          <w:sz w:val="24"/>
          <w:szCs w:val="24"/>
          <w:lang w:eastAsia="en-US"/>
        </w:rPr>
      </w:pPr>
    </w:p>
    <w:p w14:paraId="7E9F2AF8">
      <w:pPr>
        <w:spacing w:after="0" w:line="240" w:lineRule="auto"/>
        <w:jc w:val="both"/>
        <w:rPr>
          <w:rFonts w:ascii="Arial" w:hAnsi="Arial" w:eastAsia="Calibri" w:cs="Arial"/>
          <w:sz w:val="24"/>
          <w:szCs w:val="24"/>
          <w:lang w:eastAsia="en-US"/>
        </w:rPr>
      </w:pPr>
      <w:r>
        <w:rPr>
          <w:rFonts w:ascii="Arial" w:hAnsi="Arial" w:eastAsia="Calibri" w:cs="Arial"/>
          <w:b/>
          <w:bCs/>
          <w:i/>
          <w:iCs/>
          <w:sz w:val="24"/>
          <w:szCs w:val="24"/>
          <w:lang w:eastAsia="en-US"/>
        </w:rPr>
        <w:t>Considerando que</w:t>
      </w:r>
      <w:r>
        <w:rPr>
          <w:rFonts w:ascii="Arial" w:hAnsi="Arial" w:eastAsia="Calibri" w:cs="Arial"/>
          <w:sz w:val="24"/>
          <w:szCs w:val="24"/>
          <w:lang w:eastAsia="en-US"/>
        </w:rPr>
        <w:t>, a Lei Federal 14.399, de 08 de julho de 2022 –</w:t>
      </w:r>
      <w:r>
        <w:rPr>
          <w:rFonts w:hint="default" w:ascii="Arial" w:hAnsi="Arial" w:eastAsia="Calibri" w:cs="Arial"/>
          <w:sz w:val="24"/>
          <w:szCs w:val="24"/>
          <w:lang w:val="pt-BR" w:eastAsia="en-US"/>
        </w:rPr>
        <w:t xml:space="preserve"> Política </w:t>
      </w:r>
      <w:r>
        <w:rPr>
          <w:rFonts w:ascii="Arial" w:hAnsi="Arial" w:eastAsia="Calibri" w:cs="Arial"/>
          <w:sz w:val="24"/>
          <w:szCs w:val="24"/>
          <w:lang w:eastAsia="en-US"/>
        </w:rPr>
        <w:t>Nacional Aldir Blanc de Cultura (PNAB), encontra</w:t>
      </w:r>
      <w:r>
        <w:rPr>
          <w:rFonts w:hint="default" w:ascii="Arial" w:hAnsi="Arial" w:eastAsia="Calibri" w:cs="Arial"/>
          <w:sz w:val="24"/>
          <w:szCs w:val="24"/>
          <w:lang w:val="pt-BR" w:eastAsia="en-US"/>
        </w:rPr>
        <w:t>-se</w:t>
      </w:r>
      <w:r>
        <w:rPr>
          <w:rFonts w:ascii="Arial" w:hAnsi="Arial" w:eastAsia="Calibri" w:cs="Arial"/>
          <w:sz w:val="24"/>
          <w:szCs w:val="24"/>
          <w:lang w:eastAsia="en-US"/>
        </w:rPr>
        <w:t xml:space="preserve"> em execução</w:t>
      </w:r>
      <w:r>
        <w:rPr>
          <w:rFonts w:hint="default" w:ascii="Arial" w:hAnsi="Arial" w:eastAsia="Calibri" w:cs="Arial"/>
          <w:sz w:val="24"/>
          <w:szCs w:val="24"/>
          <w:lang w:val="pt-BR" w:eastAsia="en-US"/>
        </w:rPr>
        <w:t xml:space="preserve"> na fase </w:t>
      </w:r>
      <w:r>
        <w:rPr>
          <w:rFonts w:ascii="Arial" w:hAnsi="Arial" w:eastAsia="Calibri" w:cs="Arial"/>
          <w:sz w:val="24"/>
          <w:szCs w:val="24"/>
          <w:lang w:eastAsia="en-US"/>
        </w:rPr>
        <w:t>de inscrições dos proponentes nos editais propostos pela administração pública</w:t>
      </w:r>
      <w:r>
        <w:rPr>
          <w:rFonts w:hint="default" w:ascii="Arial" w:hAnsi="Arial" w:eastAsia="Calibri" w:cs="Arial"/>
          <w:sz w:val="24"/>
          <w:szCs w:val="24"/>
          <w:lang w:val="pt-BR" w:eastAsia="en-US"/>
        </w:rPr>
        <w:t xml:space="preserve"> no Município</w:t>
      </w:r>
      <w:r>
        <w:rPr>
          <w:rFonts w:ascii="Arial" w:hAnsi="Arial" w:eastAsia="Calibri" w:cs="Arial"/>
          <w:sz w:val="24"/>
          <w:szCs w:val="24"/>
          <w:lang w:eastAsia="en-US"/>
        </w:rPr>
        <w:t>;</w:t>
      </w:r>
    </w:p>
    <w:p w14:paraId="47786229">
      <w:pPr>
        <w:spacing w:after="0" w:line="240" w:lineRule="auto"/>
        <w:jc w:val="both"/>
        <w:rPr>
          <w:rFonts w:ascii="Arial" w:hAnsi="Arial" w:eastAsia="Calibri" w:cs="Arial"/>
          <w:sz w:val="24"/>
          <w:szCs w:val="24"/>
          <w:lang w:eastAsia="en-US"/>
        </w:rPr>
      </w:pPr>
    </w:p>
    <w:p w14:paraId="38D0F373">
      <w:pPr>
        <w:spacing w:after="0" w:line="240" w:lineRule="auto"/>
        <w:jc w:val="both"/>
        <w:rPr>
          <w:rFonts w:hint="default" w:ascii="Arial" w:hAnsi="Arial" w:eastAsia="Calibri"/>
          <w:b w:val="0"/>
          <w:bCs/>
          <w:i w:val="0"/>
          <w:iCs/>
          <w:sz w:val="24"/>
          <w:szCs w:val="24"/>
          <w:lang w:val="pt-BR" w:eastAsia="en-US"/>
        </w:rPr>
      </w:pPr>
      <w:r>
        <w:rPr>
          <w:rFonts w:ascii="Arial" w:hAnsi="Arial" w:eastAsia="Calibri" w:cs="Arial"/>
          <w:b/>
          <w:i/>
          <w:sz w:val="24"/>
          <w:szCs w:val="24"/>
          <w:lang w:eastAsia="en-US"/>
        </w:rPr>
        <w:t>Considerando que</w:t>
      </w:r>
      <w:r>
        <w:rPr>
          <w:rFonts w:hint="default" w:ascii="Arial" w:hAnsi="Arial" w:eastAsia="Calibri" w:cs="Arial"/>
          <w:b/>
          <w:i/>
          <w:sz w:val="24"/>
          <w:szCs w:val="24"/>
          <w:lang w:val="pt-BR" w:eastAsia="en-US"/>
        </w:rPr>
        <w:t xml:space="preserve">, </w:t>
      </w:r>
      <w:r>
        <w:rPr>
          <w:rFonts w:hint="default" w:ascii="Arial" w:hAnsi="Arial" w:eastAsia="Calibri" w:cs="Arial"/>
          <w:b w:val="0"/>
          <w:bCs/>
          <w:i w:val="0"/>
          <w:iCs/>
          <w:sz w:val="24"/>
          <w:szCs w:val="24"/>
          <w:lang w:val="pt-BR" w:eastAsia="en-US"/>
        </w:rPr>
        <w:t xml:space="preserve">é imprescindível </w:t>
      </w:r>
      <w:r>
        <w:rPr>
          <w:rFonts w:hint="default" w:ascii="Arial" w:hAnsi="Arial" w:eastAsia="Calibri"/>
          <w:b w:val="0"/>
          <w:bCs/>
          <w:i w:val="0"/>
          <w:iCs/>
          <w:sz w:val="24"/>
          <w:szCs w:val="24"/>
          <w:lang w:val="pt-BR" w:eastAsia="en-US"/>
        </w:rPr>
        <w:t>fortalecer a implementação de políticas públicas voltadas ao fomento e valorização da cultura local, em consonância com os princípios da Política Nacional Aldir Blanc;</w:t>
      </w:r>
    </w:p>
    <w:p w14:paraId="76479A8C">
      <w:pPr>
        <w:spacing w:after="0" w:line="240" w:lineRule="auto"/>
        <w:jc w:val="both"/>
        <w:rPr>
          <w:rFonts w:ascii="Arial" w:hAnsi="Arial" w:eastAsia="Calibri" w:cs="Arial"/>
          <w:sz w:val="24"/>
          <w:szCs w:val="24"/>
          <w:lang w:eastAsia="en-US"/>
        </w:rPr>
      </w:pPr>
    </w:p>
    <w:p w14:paraId="73007909">
      <w:pPr>
        <w:spacing w:after="0" w:line="240" w:lineRule="auto"/>
        <w:jc w:val="both"/>
        <w:rPr>
          <w:rFonts w:ascii="Arial" w:hAnsi="Arial" w:eastAsia="Calibri" w:cs="Arial"/>
          <w:sz w:val="24"/>
          <w:szCs w:val="24"/>
          <w:lang w:eastAsia="en-US"/>
        </w:rPr>
      </w:pPr>
      <w:r>
        <w:rPr>
          <w:rFonts w:ascii="Arial" w:hAnsi="Arial" w:eastAsia="Calibri" w:cs="Arial"/>
          <w:b/>
          <w:i/>
          <w:sz w:val="24"/>
          <w:szCs w:val="24"/>
          <w:lang w:eastAsia="en-US"/>
        </w:rPr>
        <w:t>Considerando que,</w:t>
      </w:r>
      <w:r>
        <w:rPr>
          <w:rFonts w:ascii="Arial" w:hAnsi="Arial" w:eastAsia="Calibri" w:cs="Arial"/>
          <w:sz w:val="24"/>
          <w:szCs w:val="24"/>
          <w:lang w:eastAsia="en-US"/>
        </w:rPr>
        <w:t xml:space="preserve"> </w:t>
      </w:r>
      <w:r>
        <w:rPr>
          <w:rFonts w:hint="default" w:ascii="Arial" w:hAnsi="Arial" w:eastAsia="Calibri" w:cs="Arial"/>
          <w:sz w:val="24"/>
          <w:szCs w:val="24"/>
          <w:lang w:val="pt-BR" w:eastAsia="en-US"/>
        </w:rPr>
        <w:t xml:space="preserve">é importante </w:t>
      </w:r>
      <w:r>
        <w:rPr>
          <w:rFonts w:hint="default" w:ascii="Arial" w:hAnsi="Arial" w:eastAsia="Calibri"/>
          <w:sz w:val="24"/>
          <w:szCs w:val="24"/>
          <w:lang w:val="pt-BR" w:eastAsia="en-US"/>
        </w:rPr>
        <w:t>garantir que todos os segmentos culturais tenham tempo adequado para elaborar e enviar suas propostas, assegurando a diversidade de expressões e a democratização do acesso aos recursos da PNAB/2024</w:t>
      </w:r>
      <w:r>
        <w:rPr>
          <w:rFonts w:ascii="Arial" w:hAnsi="Arial" w:eastAsia="Calibri" w:cs="Arial"/>
          <w:sz w:val="24"/>
          <w:szCs w:val="24"/>
          <w:lang w:eastAsia="en-US"/>
        </w:rPr>
        <w:t>;</w:t>
      </w:r>
    </w:p>
    <w:p w14:paraId="55B6B615">
      <w:pPr>
        <w:spacing w:after="0" w:line="240" w:lineRule="auto"/>
        <w:jc w:val="both"/>
        <w:rPr>
          <w:rFonts w:ascii="Arial" w:hAnsi="Arial" w:eastAsia="Calibri" w:cs="Arial"/>
          <w:sz w:val="24"/>
          <w:szCs w:val="24"/>
          <w:lang w:eastAsia="en-US"/>
        </w:rPr>
      </w:pPr>
    </w:p>
    <w:p w14:paraId="1AAF1A66">
      <w:pPr>
        <w:spacing w:after="0" w:line="240" w:lineRule="auto"/>
        <w:jc w:val="both"/>
        <w:rPr>
          <w:rFonts w:ascii="Arial" w:hAnsi="Arial" w:eastAsia="Calibri" w:cs="Arial"/>
          <w:sz w:val="24"/>
          <w:szCs w:val="24"/>
          <w:lang w:eastAsia="en-US"/>
        </w:rPr>
      </w:pPr>
      <w:r>
        <w:rPr>
          <w:rFonts w:ascii="Arial" w:hAnsi="Arial" w:eastAsia="Calibri" w:cs="Arial"/>
          <w:b/>
          <w:bCs/>
          <w:i/>
          <w:iCs/>
          <w:sz w:val="24"/>
          <w:szCs w:val="24"/>
          <w:lang w:eastAsia="en-US"/>
        </w:rPr>
        <w:t>Considerando que</w:t>
      </w:r>
      <w:r>
        <w:rPr>
          <w:rFonts w:ascii="Arial" w:hAnsi="Arial" w:eastAsia="Calibri" w:cs="Arial"/>
          <w:sz w:val="24"/>
          <w:szCs w:val="24"/>
          <w:lang w:eastAsia="en-US"/>
        </w:rPr>
        <w:t>, é necessário ampliar o prazo de inscrições nos editais PNAB Jaboatão 2024, devido número inferior a quantidade de vagas existentes para classificados nos respectivos editais;</w:t>
      </w:r>
    </w:p>
    <w:p w14:paraId="3B99ECB8">
      <w:pPr>
        <w:spacing w:after="0" w:line="240" w:lineRule="auto"/>
        <w:jc w:val="both"/>
        <w:rPr>
          <w:rFonts w:ascii="Arial" w:hAnsi="Arial" w:eastAsia="Calibri" w:cs="Arial"/>
          <w:sz w:val="24"/>
          <w:szCs w:val="24"/>
          <w:lang w:eastAsia="en-US"/>
        </w:rPr>
      </w:pPr>
      <w:r>
        <w:rPr>
          <w:rFonts w:ascii="Arial" w:hAnsi="Arial" w:eastAsia="Calibri" w:cs="Arial"/>
          <w:sz w:val="24"/>
          <w:szCs w:val="24"/>
          <w:lang w:eastAsia="en-US"/>
        </w:rPr>
        <w:t xml:space="preserve"> </w:t>
      </w:r>
    </w:p>
    <w:p w14:paraId="23D85ADA">
      <w:pPr>
        <w:spacing w:after="0" w:line="240" w:lineRule="auto"/>
        <w:jc w:val="both"/>
        <w:rPr>
          <w:rFonts w:ascii="Arial" w:hAnsi="Arial" w:eastAsia="Calibri" w:cs="Arial"/>
          <w:sz w:val="24"/>
          <w:szCs w:val="24"/>
          <w:lang w:eastAsia="en-US"/>
        </w:rPr>
      </w:pPr>
      <w:r>
        <w:rPr>
          <w:rFonts w:ascii="Arial" w:hAnsi="Arial" w:eastAsia="Calibri" w:cs="Arial"/>
          <w:b/>
          <w:bCs/>
          <w:i/>
          <w:iCs/>
          <w:sz w:val="24"/>
          <w:szCs w:val="24"/>
          <w:lang w:eastAsia="en-US"/>
        </w:rPr>
        <w:t>Considerando que</w:t>
      </w:r>
      <w:r>
        <w:rPr>
          <w:rFonts w:ascii="Arial" w:hAnsi="Arial" w:eastAsia="Calibri" w:cs="Arial"/>
          <w:sz w:val="24"/>
          <w:szCs w:val="24"/>
          <w:lang w:eastAsia="en-US"/>
        </w:rPr>
        <w:t xml:space="preserve">, é obrigação da administração pública executar suas políticas públicas com isonomia, imparcialidade e transparência. </w:t>
      </w:r>
    </w:p>
    <w:p w14:paraId="0130BCD1">
      <w:pPr>
        <w:spacing w:after="0" w:line="240" w:lineRule="auto"/>
        <w:jc w:val="both"/>
        <w:rPr>
          <w:rFonts w:ascii="Arial" w:hAnsi="Arial" w:eastAsia="Calibri" w:cs="Arial"/>
          <w:sz w:val="24"/>
          <w:szCs w:val="24"/>
          <w:lang w:eastAsia="en-US"/>
        </w:rPr>
      </w:pPr>
    </w:p>
    <w:p w14:paraId="7057CC86">
      <w:pPr>
        <w:widowControl w:val="0"/>
        <w:autoSpaceDE w:val="0"/>
        <w:autoSpaceDN w:val="0"/>
        <w:spacing w:after="10" w:line="240" w:lineRule="auto"/>
        <w:jc w:val="both"/>
        <w:rPr>
          <w:rFonts w:ascii="Arial" w:hAnsi="Arial" w:eastAsia="Times New Roman" w:cs="Arial"/>
          <w:b/>
          <w:bCs/>
          <w:i/>
          <w:iCs/>
          <w:sz w:val="24"/>
          <w:szCs w:val="24"/>
        </w:rPr>
      </w:pPr>
    </w:p>
    <w:p w14:paraId="67C24F23">
      <w:pPr>
        <w:widowControl w:val="0"/>
        <w:autoSpaceDE w:val="0"/>
        <w:autoSpaceDN w:val="0"/>
        <w:spacing w:after="10" w:line="240" w:lineRule="auto"/>
        <w:ind w:left="100"/>
        <w:jc w:val="both"/>
        <w:rPr>
          <w:rFonts w:ascii="Arial" w:hAnsi="Arial" w:eastAsia="Times New Roman" w:cs="Arial"/>
          <w:b/>
          <w:bCs/>
          <w:i/>
          <w:iCs/>
          <w:sz w:val="24"/>
          <w:szCs w:val="24"/>
        </w:rPr>
      </w:pPr>
      <w:r>
        <w:rPr>
          <w:rFonts w:ascii="Arial" w:hAnsi="Arial" w:eastAsia="Times New Roman" w:cs="Arial"/>
          <w:b/>
          <w:bCs/>
          <w:i/>
          <w:iCs/>
          <w:sz w:val="24"/>
          <w:szCs w:val="24"/>
        </w:rPr>
        <w:t>RESOLVE:</w:t>
      </w:r>
    </w:p>
    <w:p w14:paraId="6F92703C">
      <w:pPr>
        <w:widowControl w:val="0"/>
        <w:autoSpaceDE w:val="0"/>
        <w:autoSpaceDN w:val="0"/>
        <w:spacing w:after="10" w:line="240" w:lineRule="auto"/>
        <w:ind w:left="100"/>
        <w:jc w:val="both"/>
        <w:rPr>
          <w:rFonts w:ascii="Arial" w:hAnsi="Arial" w:eastAsia="Times New Roman" w:cs="Arial"/>
          <w:b/>
          <w:bCs/>
          <w:sz w:val="24"/>
          <w:szCs w:val="24"/>
        </w:rPr>
      </w:pPr>
    </w:p>
    <w:p w14:paraId="714CB442">
      <w:pPr>
        <w:widowControl w:val="0"/>
        <w:autoSpaceDE w:val="0"/>
        <w:autoSpaceDN w:val="0"/>
        <w:spacing w:after="10" w:line="240" w:lineRule="auto"/>
        <w:ind w:left="100"/>
        <w:jc w:val="both"/>
        <w:rPr>
          <w:rFonts w:ascii="Arial" w:hAnsi="Arial" w:eastAsia="Times New Roman" w:cs="Arial"/>
          <w:sz w:val="24"/>
          <w:szCs w:val="24"/>
        </w:rPr>
      </w:pPr>
      <w:r>
        <w:rPr>
          <w:rFonts w:ascii="Arial" w:hAnsi="Arial" w:eastAsia="Times New Roman" w:cs="Arial"/>
          <w:sz w:val="24"/>
          <w:szCs w:val="24"/>
        </w:rPr>
        <w:t>Art. 1. Prorrogar o prazo de inscrições nos editais PNAB Jaboatão 2024, até o dia 18 de outubro de 2024.</w:t>
      </w:r>
    </w:p>
    <w:p w14:paraId="4377C000">
      <w:pPr>
        <w:widowControl w:val="0"/>
        <w:autoSpaceDE w:val="0"/>
        <w:autoSpaceDN w:val="0"/>
        <w:spacing w:after="10" w:line="240" w:lineRule="auto"/>
        <w:ind w:left="100"/>
        <w:jc w:val="both"/>
        <w:rPr>
          <w:rFonts w:ascii="Arial" w:hAnsi="Arial" w:eastAsia="Times New Roman" w:cs="Arial"/>
          <w:sz w:val="24"/>
          <w:szCs w:val="24"/>
        </w:rPr>
      </w:pPr>
    </w:p>
    <w:p w14:paraId="41C7A5A9">
      <w:pPr>
        <w:widowControl w:val="0"/>
        <w:autoSpaceDE w:val="0"/>
        <w:autoSpaceDN w:val="0"/>
        <w:spacing w:after="10" w:line="240" w:lineRule="auto"/>
        <w:ind w:left="100"/>
        <w:jc w:val="both"/>
        <w:rPr>
          <w:rFonts w:ascii="Arial" w:hAnsi="Arial" w:eastAsia="Times New Roman" w:cs="Arial"/>
          <w:sz w:val="24"/>
          <w:szCs w:val="24"/>
        </w:rPr>
      </w:pPr>
      <w:r>
        <w:rPr>
          <w:rFonts w:ascii="Arial" w:hAnsi="Arial" w:eastAsia="Times New Roman" w:cs="Arial"/>
          <w:sz w:val="24"/>
          <w:szCs w:val="24"/>
        </w:rPr>
        <w:t>Art. 2. Divulgar novo Calendário/Cronograma da Execução PNAB Jaboatão 2024, de acordo com o quadro abaixo:</w:t>
      </w:r>
    </w:p>
    <w:p w14:paraId="107C4D9E">
      <w:pPr>
        <w:widowControl w:val="0"/>
        <w:autoSpaceDE w:val="0"/>
        <w:autoSpaceDN w:val="0"/>
        <w:spacing w:after="10" w:line="240" w:lineRule="auto"/>
        <w:ind w:left="100"/>
        <w:jc w:val="both"/>
        <w:rPr>
          <w:rFonts w:ascii="Arial" w:hAnsi="Arial" w:eastAsia="Times New Roman" w:cs="Arial"/>
          <w:sz w:val="24"/>
          <w:szCs w:val="24"/>
        </w:rPr>
      </w:pPr>
    </w:p>
    <w:tbl>
      <w:tblPr>
        <w:tblStyle w:val="18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322"/>
        <w:gridCol w:w="4322"/>
      </w:tblGrid>
      <w:tr w14:paraId="2AA2DEB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" w:hRule="atLeast"/>
        </w:trPr>
        <w:tc>
          <w:tcPr>
            <w:tcW w:w="4322" w:type="dxa"/>
          </w:tcPr>
          <w:p w14:paraId="0556E2E6">
            <w:pPr>
              <w:spacing w:after="0" w:line="240" w:lineRule="auto"/>
              <w:jc w:val="both"/>
              <w:rPr>
                <w:rFonts w:ascii="Arial" w:hAnsi="Arial" w:eastAsia="Calibri" w:cs="Arial"/>
                <w:b/>
                <w:kern w:val="2"/>
                <w:sz w:val="24"/>
                <w:szCs w:val="24"/>
                <w:lang w:val="en-US" w:eastAsia="zh-CN"/>
                <w14:ligatures w14:val="standardContextual"/>
              </w:rPr>
            </w:pPr>
            <w:r>
              <w:rPr>
                <w:rFonts w:ascii="Arial" w:hAnsi="Arial" w:eastAsia="Calibri" w:cs="Arial"/>
                <w:b/>
                <w:kern w:val="2"/>
                <w:sz w:val="24"/>
                <w:szCs w:val="24"/>
                <w:lang w:eastAsia="zh-CN"/>
                <w14:ligatures w14:val="standardContextual"/>
              </w:rPr>
              <w:t>Período de In</w:t>
            </w:r>
            <w:r>
              <w:rPr>
                <w:rFonts w:ascii="Arial" w:hAnsi="Arial" w:eastAsia="Calibri" w:cs="Arial"/>
                <w:b/>
                <w:kern w:val="2"/>
                <w:sz w:val="24"/>
                <w:szCs w:val="24"/>
                <w:lang w:val="en-US" w:eastAsia="zh-CN"/>
                <w14:ligatures w14:val="standardContextual"/>
              </w:rPr>
              <w:t>scrições</w:t>
            </w:r>
          </w:p>
        </w:tc>
        <w:tc>
          <w:tcPr>
            <w:tcW w:w="4322" w:type="dxa"/>
          </w:tcPr>
          <w:p w14:paraId="65A099DC">
            <w:pPr>
              <w:spacing w:after="0" w:line="240" w:lineRule="auto"/>
              <w:jc w:val="both"/>
              <w:rPr>
                <w:rFonts w:ascii="Arial" w:hAnsi="Arial" w:eastAsia="Calibri" w:cs="Arial"/>
                <w:kern w:val="2"/>
                <w:sz w:val="24"/>
                <w:szCs w:val="24"/>
                <w:lang w:eastAsia="zh-CN"/>
                <w14:ligatures w14:val="standardContextual"/>
              </w:rPr>
            </w:pPr>
            <w:r>
              <w:rPr>
                <w:rFonts w:ascii="Arial" w:hAnsi="Arial" w:eastAsia="Calibri" w:cs="Arial"/>
                <w:kern w:val="2"/>
                <w:sz w:val="24"/>
                <w:szCs w:val="24"/>
                <w:lang w:eastAsia="zh-CN"/>
                <w14:ligatures w14:val="standardContextual"/>
              </w:rPr>
              <w:t xml:space="preserve">12 a 18 de </w:t>
            </w:r>
            <w:r>
              <w:rPr>
                <w:rFonts w:hint="default" w:ascii="Arial" w:hAnsi="Arial" w:eastAsia="Calibri" w:cs="Arial"/>
                <w:kern w:val="2"/>
                <w:sz w:val="24"/>
                <w:szCs w:val="24"/>
                <w:lang w:val="pt-BR" w:eastAsia="zh-CN"/>
                <w14:ligatures w14:val="standardContextual"/>
              </w:rPr>
              <w:t>o</w:t>
            </w:r>
            <w:r>
              <w:rPr>
                <w:rFonts w:ascii="Arial" w:hAnsi="Arial" w:eastAsia="Calibri" w:cs="Arial"/>
                <w:kern w:val="2"/>
                <w:sz w:val="24"/>
                <w:szCs w:val="24"/>
                <w:lang w:eastAsia="zh-CN"/>
                <w14:ligatures w14:val="standardContextual"/>
              </w:rPr>
              <w:t>utubro de 2024</w:t>
            </w:r>
          </w:p>
          <w:p w14:paraId="2A13151C">
            <w:pPr>
              <w:spacing w:after="0" w:line="240" w:lineRule="auto"/>
              <w:jc w:val="both"/>
              <w:rPr>
                <w:rFonts w:ascii="Arial" w:hAnsi="Arial" w:eastAsia="Calibri" w:cs="Arial"/>
                <w:kern w:val="2"/>
                <w:sz w:val="24"/>
                <w:szCs w:val="24"/>
                <w:lang w:eastAsia="zh-CN"/>
                <w14:ligatures w14:val="standardContextual"/>
              </w:rPr>
            </w:pPr>
          </w:p>
        </w:tc>
      </w:tr>
      <w:tr w14:paraId="7FAA1CE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322" w:type="dxa"/>
          </w:tcPr>
          <w:p w14:paraId="50FC9551">
            <w:pPr>
              <w:spacing w:after="0" w:line="240" w:lineRule="auto"/>
              <w:jc w:val="both"/>
              <w:rPr>
                <w:rFonts w:ascii="Arial" w:hAnsi="Arial" w:eastAsia="Calibri" w:cs="Arial"/>
                <w:b/>
                <w:kern w:val="2"/>
                <w:sz w:val="24"/>
                <w:szCs w:val="24"/>
                <w:lang w:eastAsia="zh-CN"/>
                <w14:ligatures w14:val="standardContextual"/>
              </w:rPr>
            </w:pPr>
            <w:r>
              <w:rPr>
                <w:rFonts w:ascii="Arial" w:hAnsi="Arial" w:eastAsia="Calibri" w:cs="Arial"/>
                <w:b/>
                <w:kern w:val="2"/>
                <w:sz w:val="24"/>
                <w:szCs w:val="24"/>
                <w:lang w:eastAsia="zh-CN"/>
                <w14:ligatures w14:val="standardContextual"/>
              </w:rPr>
              <w:t>Período de Análise das Propostas Inscritas</w:t>
            </w:r>
          </w:p>
        </w:tc>
        <w:tc>
          <w:tcPr>
            <w:tcW w:w="4322" w:type="dxa"/>
          </w:tcPr>
          <w:p w14:paraId="1DCF9EF3">
            <w:pPr>
              <w:spacing w:after="0" w:line="240" w:lineRule="auto"/>
              <w:jc w:val="both"/>
              <w:rPr>
                <w:rFonts w:ascii="Arial" w:hAnsi="Arial" w:eastAsia="Calibri" w:cs="Arial"/>
                <w:kern w:val="2"/>
                <w:sz w:val="24"/>
                <w:szCs w:val="24"/>
                <w:lang w:val="en-US" w:eastAsia="zh-CN"/>
                <w14:ligatures w14:val="standardContextual"/>
              </w:rPr>
            </w:pPr>
            <w:r>
              <w:rPr>
                <w:rFonts w:ascii="Arial" w:hAnsi="Arial" w:eastAsia="Calibri" w:cs="Arial"/>
                <w:kern w:val="2"/>
                <w:sz w:val="24"/>
                <w:szCs w:val="24"/>
                <w:lang w:val="en-US" w:eastAsia="zh-CN"/>
                <w14:ligatures w14:val="standardContextual"/>
              </w:rPr>
              <w:t xml:space="preserve">21 a 30 de </w:t>
            </w:r>
            <w:r>
              <w:rPr>
                <w:rFonts w:hint="default" w:ascii="Arial" w:hAnsi="Arial" w:eastAsia="Calibri" w:cs="Arial"/>
                <w:kern w:val="2"/>
                <w:sz w:val="24"/>
                <w:szCs w:val="24"/>
                <w:lang w:val="pt-BR" w:eastAsia="zh-CN"/>
                <w14:ligatures w14:val="standardContextual"/>
              </w:rPr>
              <w:t>o</w:t>
            </w:r>
            <w:r>
              <w:rPr>
                <w:rFonts w:ascii="Arial" w:hAnsi="Arial" w:eastAsia="Calibri" w:cs="Arial"/>
                <w:kern w:val="2"/>
                <w:sz w:val="24"/>
                <w:szCs w:val="24"/>
                <w:lang w:val="en-US" w:eastAsia="zh-CN"/>
                <w14:ligatures w14:val="standardContextual"/>
              </w:rPr>
              <w:t>utubro de 2024</w:t>
            </w:r>
          </w:p>
        </w:tc>
      </w:tr>
      <w:tr w14:paraId="608DF9E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322" w:type="dxa"/>
          </w:tcPr>
          <w:p w14:paraId="3BB60788">
            <w:pPr>
              <w:spacing w:after="0" w:line="240" w:lineRule="auto"/>
              <w:jc w:val="both"/>
              <w:rPr>
                <w:rFonts w:ascii="Arial" w:hAnsi="Arial" w:eastAsia="Calibri" w:cs="Arial"/>
                <w:b/>
                <w:kern w:val="2"/>
                <w:sz w:val="24"/>
                <w:szCs w:val="24"/>
                <w:lang w:eastAsia="zh-CN"/>
                <w14:ligatures w14:val="standardContextual"/>
              </w:rPr>
            </w:pPr>
            <w:r>
              <w:rPr>
                <w:rFonts w:ascii="Arial" w:hAnsi="Arial" w:eastAsia="Calibri" w:cs="Arial"/>
                <w:b/>
                <w:kern w:val="2"/>
                <w:sz w:val="24"/>
                <w:szCs w:val="24"/>
                <w:lang w:eastAsia="zh-CN"/>
                <w14:ligatures w14:val="standardContextual"/>
              </w:rPr>
              <w:t>Resultado da Propostas Inscritas (Fase Preliminar)</w:t>
            </w:r>
          </w:p>
        </w:tc>
        <w:tc>
          <w:tcPr>
            <w:tcW w:w="4322" w:type="dxa"/>
          </w:tcPr>
          <w:p w14:paraId="2F5468EF">
            <w:pPr>
              <w:spacing w:after="0" w:line="240" w:lineRule="auto"/>
              <w:jc w:val="both"/>
              <w:rPr>
                <w:rFonts w:ascii="Arial" w:hAnsi="Arial" w:eastAsia="Calibri" w:cs="Arial"/>
                <w:kern w:val="2"/>
                <w:sz w:val="24"/>
                <w:szCs w:val="24"/>
                <w:lang w:val="en-US" w:eastAsia="zh-CN"/>
                <w14:ligatures w14:val="standardContextual"/>
              </w:rPr>
            </w:pPr>
            <w:r>
              <w:rPr>
                <w:rFonts w:ascii="Arial" w:hAnsi="Arial" w:eastAsia="Calibri" w:cs="Arial"/>
                <w:kern w:val="2"/>
                <w:sz w:val="24"/>
                <w:szCs w:val="24"/>
                <w:lang w:val="en-US" w:eastAsia="zh-CN"/>
                <w14:ligatures w14:val="standardContextual"/>
              </w:rPr>
              <w:t xml:space="preserve">01 de </w:t>
            </w:r>
            <w:r>
              <w:rPr>
                <w:rFonts w:hint="default" w:ascii="Arial" w:hAnsi="Arial" w:eastAsia="Calibri" w:cs="Arial"/>
                <w:kern w:val="2"/>
                <w:sz w:val="24"/>
                <w:szCs w:val="24"/>
                <w:lang w:val="pt-BR" w:eastAsia="zh-CN"/>
                <w14:ligatures w14:val="standardContextual"/>
              </w:rPr>
              <w:t>n</w:t>
            </w:r>
            <w:r>
              <w:rPr>
                <w:rFonts w:ascii="Arial" w:hAnsi="Arial" w:eastAsia="Calibri" w:cs="Arial"/>
                <w:kern w:val="2"/>
                <w:sz w:val="24"/>
                <w:szCs w:val="24"/>
                <w:lang w:val="en-US" w:eastAsia="zh-CN"/>
                <w14:ligatures w14:val="standardContextual"/>
              </w:rPr>
              <w:t>ovembro de 2024</w:t>
            </w:r>
          </w:p>
        </w:tc>
      </w:tr>
      <w:tr w14:paraId="696E66A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322" w:type="dxa"/>
          </w:tcPr>
          <w:p w14:paraId="480E4C22">
            <w:pPr>
              <w:spacing w:after="0" w:line="240" w:lineRule="auto"/>
              <w:jc w:val="both"/>
              <w:rPr>
                <w:rFonts w:ascii="Arial" w:hAnsi="Arial" w:eastAsia="Calibri" w:cs="Arial"/>
                <w:b/>
                <w:kern w:val="2"/>
                <w:sz w:val="24"/>
                <w:szCs w:val="24"/>
                <w:lang w:eastAsia="zh-CN"/>
                <w14:ligatures w14:val="standardContextual"/>
              </w:rPr>
            </w:pPr>
            <w:r>
              <w:rPr>
                <w:rFonts w:ascii="Arial" w:hAnsi="Arial" w:eastAsia="Calibri" w:cs="Arial"/>
                <w:b/>
                <w:kern w:val="2"/>
                <w:sz w:val="24"/>
                <w:szCs w:val="24"/>
                <w:lang w:eastAsia="zh-CN"/>
                <w14:ligatures w14:val="standardContextual"/>
              </w:rPr>
              <w:t>Período Recurso da Fase Preliminar</w:t>
            </w:r>
          </w:p>
        </w:tc>
        <w:tc>
          <w:tcPr>
            <w:tcW w:w="4322" w:type="dxa"/>
          </w:tcPr>
          <w:p w14:paraId="704F3D03">
            <w:pPr>
              <w:spacing w:after="0" w:line="240" w:lineRule="auto"/>
              <w:jc w:val="both"/>
              <w:rPr>
                <w:rFonts w:ascii="Arial" w:hAnsi="Arial" w:eastAsia="Calibri" w:cs="Arial"/>
                <w:kern w:val="2"/>
                <w:sz w:val="24"/>
                <w:szCs w:val="24"/>
                <w:lang w:eastAsia="zh-CN"/>
                <w14:ligatures w14:val="standardContextual"/>
              </w:rPr>
            </w:pPr>
            <w:r>
              <w:rPr>
                <w:rFonts w:ascii="Arial" w:hAnsi="Arial" w:eastAsia="Calibri" w:cs="Arial"/>
                <w:kern w:val="2"/>
                <w:sz w:val="24"/>
                <w:szCs w:val="24"/>
                <w:lang w:eastAsia="zh-CN"/>
                <w14:ligatures w14:val="standardContextual"/>
              </w:rPr>
              <w:t xml:space="preserve">04 a 08 de </w:t>
            </w:r>
            <w:r>
              <w:rPr>
                <w:rFonts w:hint="default" w:ascii="Arial" w:hAnsi="Arial" w:eastAsia="Calibri" w:cs="Arial"/>
                <w:kern w:val="2"/>
                <w:sz w:val="24"/>
                <w:szCs w:val="24"/>
                <w:lang w:val="pt-BR" w:eastAsia="zh-CN"/>
                <w14:ligatures w14:val="standardContextual"/>
              </w:rPr>
              <w:t>n</w:t>
            </w:r>
            <w:r>
              <w:rPr>
                <w:rFonts w:ascii="Arial" w:hAnsi="Arial" w:eastAsia="Calibri" w:cs="Arial"/>
                <w:kern w:val="2"/>
                <w:sz w:val="24"/>
                <w:szCs w:val="24"/>
                <w:lang w:eastAsia="zh-CN"/>
                <w14:ligatures w14:val="standardContextual"/>
              </w:rPr>
              <w:t>ovembro de 2024</w:t>
            </w:r>
          </w:p>
        </w:tc>
      </w:tr>
      <w:tr w14:paraId="407085B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322" w:type="dxa"/>
          </w:tcPr>
          <w:p w14:paraId="6DF5A8E6">
            <w:pPr>
              <w:spacing w:after="0" w:line="240" w:lineRule="auto"/>
              <w:jc w:val="both"/>
              <w:rPr>
                <w:rFonts w:ascii="Arial" w:hAnsi="Arial" w:eastAsia="Calibri" w:cs="Arial"/>
                <w:b/>
                <w:kern w:val="2"/>
                <w:sz w:val="24"/>
                <w:szCs w:val="24"/>
                <w:lang w:eastAsia="zh-CN"/>
                <w14:ligatures w14:val="standardContextual"/>
              </w:rPr>
            </w:pPr>
            <w:r>
              <w:rPr>
                <w:rFonts w:ascii="Arial" w:hAnsi="Arial" w:eastAsia="Calibri" w:cs="Arial"/>
                <w:b/>
                <w:kern w:val="2"/>
                <w:sz w:val="24"/>
                <w:szCs w:val="24"/>
                <w:lang w:eastAsia="zh-CN"/>
                <w14:ligatures w14:val="standardContextual"/>
              </w:rPr>
              <w:t>Resultado Final da Fase Preliminar</w:t>
            </w:r>
          </w:p>
        </w:tc>
        <w:tc>
          <w:tcPr>
            <w:tcW w:w="4322" w:type="dxa"/>
          </w:tcPr>
          <w:p w14:paraId="08377AC5">
            <w:pPr>
              <w:spacing w:after="0" w:line="240" w:lineRule="auto"/>
              <w:jc w:val="both"/>
              <w:rPr>
                <w:rFonts w:ascii="Arial" w:hAnsi="Arial" w:eastAsia="Calibri" w:cs="Arial"/>
                <w:kern w:val="2"/>
                <w:sz w:val="24"/>
                <w:szCs w:val="24"/>
                <w:lang w:val="en-US" w:eastAsia="zh-CN"/>
                <w14:ligatures w14:val="standardContextual"/>
              </w:rPr>
            </w:pPr>
            <w:r>
              <w:rPr>
                <w:rFonts w:ascii="Arial" w:hAnsi="Arial" w:eastAsia="Calibri" w:cs="Arial"/>
                <w:kern w:val="2"/>
                <w:sz w:val="24"/>
                <w:szCs w:val="24"/>
                <w:lang w:val="en-US" w:eastAsia="zh-CN"/>
                <w14:ligatures w14:val="standardContextual"/>
              </w:rPr>
              <w:t xml:space="preserve">11 de </w:t>
            </w:r>
            <w:r>
              <w:rPr>
                <w:rFonts w:hint="default" w:ascii="Arial" w:hAnsi="Arial" w:eastAsia="Calibri" w:cs="Arial"/>
                <w:kern w:val="2"/>
                <w:sz w:val="24"/>
                <w:szCs w:val="24"/>
                <w:lang w:val="pt-BR" w:eastAsia="zh-CN"/>
                <w14:ligatures w14:val="standardContextual"/>
              </w:rPr>
              <w:t>n</w:t>
            </w:r>
            <w:r>
              <w:rPr>
                <w:rFonts w:ascii="Arial" w:hAnsi="Arial" w:eastAsia="Calibri" w:cs="Arial"/>
                <w:kern w:val="2"/>
                <w:sz w:val="24"/>
                <w:szCs w:val="24"/>
                <w:lang w:val="en-US" w:eastAsia="zh-CN"/>
                <w14:ligatures w14:val="standardContextual"/>
              </w:rPr>
              <w:t>ovembro de 2024</w:t>
            </w:r>
          </w:p>
        </w:tc>
      </w:tr>
      <w:tr w14:paraId="3142064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322" w:type="dxa"/>
          </w:tcPr>
          <w:p w14:paraId="471D5620">
            <w:pPr>
              <w:spacing w:after="0" w:line="240" w:lineRule="auto"/>
              <w:jc w:val="both"/>
              <w:rPr>
                <w:rFonts w:ascii="Arial" w:hAnsi="Arial" w:eastAsia="Calibri" w:cs="Arial"/>
                <w:b/>
                <w:kern w:val="2"/>
                <w:sz w:val="24"/>
                <w:szCs w:val="24"/>
                <w:lang w:eastAsia="zh-CN"/>
                <w14:ligatures w14:val="standardContextual"/>
              </w:rPr>
            </w:pPr>
            <w:r>
              <w:rPr>
                <w:rFonts w:ascii="Arial" w:hAnsi="Arial" w:eastAsia="Calibri" w:cs="Arial"/>
                <w:b/>
                <w:kern w:val="2"/>
                <w:sz w:val="24"/>
                <w:szCs w:val="24"/>
                <w:lang w:eastAsia="zh-CN"/>
                <w14:ligatures w14:val="standardContextual"/>
              </w:rPr>
              <w:t>Período da Entrega Documental de Habilitação</w:t>
            </w:r>
          </w:p>
        </w:tc>
        <w:tc>
          <w:tcPr>
            <w:tcW w:w="4322" w:type="dxa"/>
          </w:tcPr>
          <w:p w14:paraId="1DF3E904">
            <w:pPr>
              <w:spacing w:after="0" w:line="240" w:lineRule="auto"/>
              <w:jc w:val="both"/>
              <w:rPr>
                <w:rFonts w:ascii="Arial" w:hAnsi="Arial" w:eastAsia="Calibri" w:cs="Arial"/>
                <w:kern w:val="2"/>
                <w:sz w:val="24"/>
                <w:szCs w:val="24"/>
                <w:lang w:val="en-US" w:eastAsia="zh-CN"/>
                <w14:ligatures w14:val="standardContextual"/>
              </w:rPr>
            </w:pPr>
            <w:r>
              <w:rPr>
                <w:rFonts w:ascii="Arial" w:hAnsi="Arial" w:eastAsia="Calibri" w:cs="Arial"/>
                <w:kern w:val="2"/>
                <w:sz w:val="24"/>
                <w:szCs w:val="24"/>
                <w:lang w:val="en-US" w:eastAsia="zh-CN"/>
                <w14:ligatures w14:val="standardContextual"/>
              </w:rPr>
              <w:t xml:space="preserve">12 a 14 de </w:t>
            </w:r>
            <w:r>
              <w:rPr>
                <w:rFonts w:hint="default" w:ascii="Arial" w:hAnsi="Arial" w:eastAsia="Calibri" w:cs="Arial"/>
                <w:kern w:val="2"/>
                <w:sz w:val="24"/>
                <w:szCs w:val="24"/>
                <w:lang w:val="pt-BR" w:eastAsia="zh-CN"/>
                <w14:ligatures w14:val="standardContextual"/>
              </w:rPr>
              <w:t>n</w:t>
            </w:r>
            <w:r>
              <w:rPr>
                <w:rFonts w:ascii="Arial" w:hAnsi="Arial" w:eastAsia="Calibri" w:cs="Arial"/>
                <w:kern w:val="2"/>
                <w:sz w:val="24"/>
                <w:szCs w:val="24"/>
                <w:lang w:val="en-US" w:eastAsia="zh-CN"/>
                <w14:ligatures w14:val="standardContextual"/>
              </w:rPr>
              <w:t>ovembro de 2024</w:t>
            </w:r>
          </w:p>
        </w:tc>
      </w:tr>
      <w:tr w14:paraId="3A0503F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322" w:type="dxa"/>
          </w:tcPr>
          <w:p w14:paraId="103E0E0C">
            <w:pPr>
              <w:spacing w:after="0" w:line="240" w:lineRule="auto"/>
              <w:jc w:val="both"/>
              <w:rPr>
                <w:rFonts w:ascii="Arial" w:hAnsi="Arial" w:eastAsia="Calibri" w:cs="Arial"/>
                <w:b/>
                <w:kern w:val="2"/>
                <w:sz w:val="24"/>
                <w:szCs w:val="24"/>
                <w:lang w:eastAsia="zh-CN"/>
                <w14:ligatures w14:val="standardContextual"/>
              </w:rPr>
            </w:pPr>
            <w:r>
              <w:rPr>
                <w:rFonts w:ascii="Arial" w:hAnsi="Arial" w:eastAsia="Calibri" w:cs="Arial"/>
                <w:b/>
                <w:kern w:val="2"/>
                <w:sz w:val="24"/>
                <w:szCs w:val="24"/>
                <w:lang w:eastAsia="zh-CN"/>
                <w14:ligatures w14:val="standardContextual"/>
              </w:rPr>
              <w:t>Período Recurso da Fase Documental de Habilitação</w:t>
            </w:r>
          </w:p>
        </w:tc>
        <w:tc>
          <w:tcPr>
            <w:tcW w:w="4322" w:type="dxa"/>
          </w:tcPr>
          <w:p w14:paraId="3D86163E">
            <w:pPr>
              <w:spacing w:after="0" w:line="240" w:lineRule="auto"/>
              <w:jc w:val="both"/>
              <w:rPr>
                <w:rFonts w:ascii="Arial" w:hAnsi="Arial" w:eastAsia="Calibri" w:cs="Arial"/>
                <w:kern w:val="2"/>
                <w:sz w:val="24"/>
                <w:szCs w:val="24"/>
                <w:lang w:val="en-US" w:eastAsia="zh-CN"/>
                <w14:ligatures w14:val="standardContextual"/>
              </w:rPr>
            </w:pPr>
            <w:r>
              <w:rPr>
                <w:rFonts w:ascii="Arial" w:hAnsi="Arial" w:eastAsia="Calibri" w:cs="Arial"/>
                <w:kern w:val="2"/>
                <w:sz w:val="24"/>
                <w:szCs w:val="24"/>
                <w:lang w:val="en-US" w:eastAsia="zh-CN"/>
                <w14:ligatures w14:val="standardContextual"/>
              </w:rPr>
              <w:t xml:space="preserve">18 a 22 de </w:t>
            </w:r>
            <w:r>
              <w:rPr>
                <w:rFonts w:hint="default" w:ascii="Arial" w:hAnsi="Arial" w:eastAsia="Calibri" w:cs="Arial"/>
                <w:kern w:val="2"/>
                <w:sz w:val="24"/>
                <w:szCs w:val="24"/>
                <w:lang w:val="pt-BR" w:eastAsia="zh-CN"/>
                <w14:ligatures w14:val="standardContextual"/>
              </w:rPr>
              <w:t>n</w:t>
            </w:r>
            <w:r>
              <w:rPr>
                <w:rFonts w:ascii="Arial" w:hAnsi="Arial" w:eastAsia="Calibri" w:cs="Arial"/>
                <w:kern w:val="2"/>
                <w:sz w:val="24"/>
                <w:szCs w:val="24"/>
                <w:lang w:val="en-US" w:eastAsia="zh-CN"/>
                <w14:ligatures w14:val="standardContextual"/>
              </w:rPr>
              <w:t>ovembro de 2024</w:t>
            </w:r>
          </w:p>
        </w:tc>
      </w:tr>
      <w:tr w14:paraId="7AF1255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322" w:type="dxa"/>
          </w:tcPr>
          <w:p w14:paraId="4D6F85D2">
            <w:pPr>
              <w:spacing w:after="0" w:line="240" w:lineRule="auto"/>
              <w:jc w:val="both"/>
              <w:rPr>
                <w:rFonts w:ascii="Arial" w:hAnsi="Arial" w:eastAsia="Calibri" w:cs="Arial"/>
                <w:b/>
                <w:kern w:val="2"/>
                <w:sz w:val="24"/>
                <w:szCs w:val="24"/>
                <w:lang w:val="en-US" w:eastAsia="zh-CN"/>
                <w14:ligatures w14:val="standardContextual"/>
              </w:rPr>
            </w:pPr>
            <w:r>
              <w:rPr>
                <w:rFonts w:ascii="Arial" w:hAnsi="Arial" w:eastAsia="Calibri" w:cs="Arial"/>
                <w:b/>
                <w:kern w:val="2"/>
                <w:sz w:val="24"/>
                <w:szCs w:val="24"/>
                <w:lang w:val="en-US" w:eastAsia="zh-CN"/>
                <w14:ligatures w14:val="standardContextual"/>
              </w:rPr>
              <w:t>Homologação do Resultado Final</w:t>
            </w:r>
          </w:p>
        </w:tc>
        <w:tc>
          <w:tcPr>
            <w:tcW w:w="4322" w:type="dxa"/>
          </w:tcPr>
          <w:p w14:paraId="79ED0EF0">
            <w:pPr>
              <w:spacing w:after="0" w:line="240" w:lineRule="auto"/>
              <w:jc w:val="both"/>
              <w:rPr>
                <w:rFonts w:ascii="Arial" w:hAnsi="Arial" w:eastAsia="Calibri" w:cs="Arial"/>
                <w:kern w:val="2"/>
                <w:sz w:val="24"/>
                <w:szCs w:val="24"/>
                <w:lang w:val="en-US" w:eastAsia="zh-CN"/>
                <w14:ligatures w14:val="standardContextual"/>
              </w:rPr>
            </w:pPr>
            <w:r>
              <w:rPr>
                <w:rFonts w:ascii="Arial" w:hAnsi="Arial" w:eastAsia="Calibri" w:cs="Arial"/>
                <w:kern w:val="2"/>
                <w:sz w:val="24"/>
                <w:szCs w:val="24"/>
                <w:lang w:val="en-US" w:eastAsia="zh-CN"/>
                <w14:ligatures w14:val="standardContextual"/>
              </w:rPr>
              <w:t xml:space="preserve">26 de </w:t>
            </w:r>
            <w:r>
              <w:rPr>
                <w:rFonts w:hint="default" w:ascii="Arial" w:hAnsi="Arial" w:eastAsia="Calibri" w:cs="Arial"/>
                <w:kern w:val="2"/>
                <w:sz w:val="24"/>
                <w:szCs w:val="24"/>
                <w:lang w:val="pt-BR" w:eastAsia="zh-CN"/>
                <w14:ligatures w14:val="standardContextual"/>
              </w:rPr>
              <w:t>n</w:t>
            </w:r>
            <w:r>
              <w:rPr>
                <w:rFonts w:ascii="Arial" w:hAnsi="Arial" w:eastAsia="Calibri" w:cs="Arial"/>
                <w:kern w:val="2"/>
                <w:sz w:val="24"/>
                <w:szCs w:val="24"/>
                <w:lang w:val="en-US" w:eastAsia="zh-CN"/>
                <w14:ligatures w14:val="standardContextual"/>
              </w:rPr>
              <w:t>ovembro de 2024</w:t>
            </w:r>
          </w:p>
        </w:tc>
      </w:tr>
      <w:tr w14:paraId="7CED9D1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4" w:hRule="atLeast"/>
        </w:trPr>
        <w:tc>
          <w:tcPr>
            <w:tcW w:w="4322" w:type="dxa"/>
          </w:tcPr>
          <w:p w14:paraId="6CABFCB2">
            <w:pPr>
              <w:spacing w:after="0" w:line="240" w:lineRule="auto"/>
              <w:jc w:val="both"/>
              <w:rPr>
                <w:rFonts w:ascii="Arial" w:hAnsi="Arial" w:eastAsia="Calibri" w:cs="Arial"/>
                <w:b/>
                <w:kern w:val="2"/>
                <w:sz w:val="24"/>
                <w:szCs w:val="24"/>
                <w:lang w:eastAsia="zh-CN"/>
                <w14:ligatures w14:val="standardContextual"/>
              </w:rPr>
            </w:pPr>
            <w:r>
              <w:rPr>
                <w:rFonts w:ascii="Arial" w:hAnsi="Arial" w:eastAsia="Calibri" w:cs="Arial"/>
                <w:b/>
                <w:kern w:val="2"/>
                <w:sz w:val="24"/>
                <w:szCs w:val="24"/>
                <w:lang w:eastAsia="zh-CN"/>
                <w14:ligatures w14:val="standardContextual"/>
              </w:rPr>
              <w:t>Período de Assinatura de Recibo e/ou Termo de Execução Cultural</w:t>
            </w:r>
          </w:p>
        </w:tc>
        <w:tc>
          <w:tcPr>
            <w:tcW w:w="4322" w:type="dxa"/>
          </w:tcPr>
          <w:p w14:paraId="52859BCD">
            <w:pPr>
              <w:spacing w:after="0" w:line="240" w:lineRule="auto"/>
              <w:jc w:val="both"/>
              <w:rPr>
                <w:rFonts w:ascii="Arial" w:hAnsi="Arial" w:eastAsia="Calibri" w:cs="Arial"/>
                <w:kern w:val="2"/>
                <w:sz w:val="24"/>
                <w:szCs w:val="24"/>
                <w:lang w:val="en-US" w:eastAsia="zh-CN"/>
                <w14:ligatures w14:val="standardContextual"/>
              </w:rPr>
            </w:pPr>
            <w:r>
              <w:rPr>
                <w:rFonts w:ascii="Arial" w:hAnsi="Arial" w:eastAsia="Calibri" w:cs="Arial"/>
                <w:kern w:val="2"/>
                <w:sz w:val="24"/>
                <w:szCs w:val="24"/>
                <w:lang w:val="en-US" w:eastAsia="zh-CN"/>
                <w14:ligatures w14:val="standardContextual"/>
              </w:rPr>
              <w:t xml:space="preserve">27 a 29 de </w:t>
            </w:r>
            <w:r>
              <w:rPr>
                <w:rFonts w:hint="default" w:ascii="Arial" w:hAnsi="Arial" w:eastAsia="Calibri" w:cs="Arial"/>
                <w:kern w:val="2"/>
                <w:sz w:val="24"/>
                <w:szCs w:val="24"/>
                <w:lang w:val="pt-BR" w:eastAsia="zh-CN"/>
                <w14:ligatures w14:val="standardContextual"/>
              </w:rPr>
              <w:t>n</w:t>
            </w:r>
            <w:r>
              <w:rPr>
                <w:rFonts w:ascii="Arial" w:hAnsi="Arial" w:eastAsia="Calibri" w:cs="Arial"/>
                <w:kern w:val="2"/>
                <w:sz w:val="24"/>
                <w:szCs w:val="24"/>
                <w:lang w:val="en-US" w:eastAsia="zh-CN"/>
                <w14:ligatures w14:val="standardContextual"/>
              </w:rPr>
              <w:t>ovembro de 2024</w:t>
            </w:r>
          </w:p>
        </w:tc>
      </w:tr>
      <w:tr w14:paraId="5F693EB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322" w:type="dxa"/>
          </w:tcPr>
          <w:p w14:paraId="0EDA9350">
            <w:pPr>
              <w:spacing w:after="0" w:line="240" w:lineRule="auto"/>
              <w:jc w:val="both"/>
              <w:rPr>
                <w:rFonts w:ascii="Arial" w:hAnsi="Arial" w:eastAsia="Calibri" w:cs="Arial"/>
                <w:b/>
                <w:kern w:val="2"/>
                <w:sz w:val="24"/>
                <w:szCs w:val="24"/>
                <w:lang w:eastAsia="zh-CN"/>
                <w14:ligatures w14:val="standardContextual"/>
              </w:rPr>
            </w:pPr>
            <w:r>
              <w:rPr>
                <w:rFonts w:ascii="Arial" w:hAnsi="Arial" w:eastAsia="Calibri" w:cs="Arial"/>
                <w:b/>
                <w:kern w:val="2"/>
                <w:sz w:val="24"/>
                <w:szCs w:val="24"/>
                <w:lang w:eastAsia="zh-CN"/>
                <w14:ligatures w14:val="standardContextual"/>
              </w:rPr>
              <w:t>Período de Repasse dos Recursos as Propostas Classificadas</w:t>
            </w:r>
          </w:p>
        </w:tc>
        <w:tc>
          <w:tcPr>
            <w:tcW w:w="4322" w:type="dxa"/>
          </w:tcPr>
          <w:p w14:paraId="12EF69E9">
            <w:pPr>
              <w:spacing w:after="0" w:line="240" w:lineRule="auto"/>
              <w:jc w:val="both"/>
              <w:rPr>
                <w:rFonts w:ascii="Arial" w:hAnsi="Arial" w:eastAsia="Calibri" w:cs="Arial"/>
                <w:kern w:val="2"/>
                <w:sz w:val="24"/>
                <w:szCs w:val="24"/>
                <w:lang w:val="en-US" w:eastAsia="zh-CN"/>
                <w14:ligatures w14:val="standardContextual"/>
              </w:rPr>
            </w:pPr>
            <w:r>
              <w:rPr>
                <w:rFonts w:ascii="Arial" w:hAnsi="Arial" w:eastAsia="Calibri" w:cs="Arial"/>
                <w:kern w:val="2"/>
                <w:sz w:val="24"/>
                <w:szCs w:val="24"/>
                <w:lang w:val="en-US" w:eastAsia="zh-CN"/>
                <w14:ligatures w14:val="standardContextual"/>
              </w:rPr>
              <w:t>02 a 28</w:t>
            </w:r>
            <w:r>
              <w:rPr>
                <w:rFonts w:hint="default" w:ascii="Arial" w:hAnsi="Arial" w:eastAsia="Calibri" w:cs="Arial"/>
                <w:kern w:val="2"/>
                <w:sz w:val="24"/>
                <w:szCs w:val="24"/>
                <w:lang w:val="pt-BR" w:eastAsia="zh-CN"/>
                <w14:ligatures w14:val="standardContextual"/>
              </w:rPr>
              <w:t xml:space="preserve"> </w:t>
            </w:r>
            <w:r>
              <w:rPr>
                <w:rFonts w:ascii="Arial" w:hAnsi="Arial" w:eastAsia="Calibri" w:cs="Arial"/>
                <w:kern w:val="2"/>
                <w:sz w:val="24"/>
                <w:szCs w:val="24"/>
                <w:lang w:val="en-US" w:eastAsia="zh-CN"/>
                <w14:ligatures w14:val="standardContextual"/>
              </w:rPr>
              <w:t>de dezembro de 2024</w:t>
            </w:r>
          </w:p>
        </w:tc>
      </w:tr>
    </w:tbl>
    <w:p w14:paraId="45D25F48">
      <w:pPr>
        <w:widowControl w:val="0"/>
        <w:autoSpaceDE w:val="0"/>
        <w:autoSpaceDN w:val="0"/>
        <w:spacing w:after="10" w:line="240" w:lineRule="auto"/>
        <w:ind w:left="100"/>
        <w:jc w:val="both"/>
        <w:rPr>
          <w:rFonts w:ascii="Arial" w:hAnsi="Arial" w:eastAsia="Times New Roman" w:cs="Arial"/>
          <w:sz w:val="24"/>
          <w:szCs w:val="24"/>
        </w:rPr>
      </w:pPr>
    </w:p>
    <w:p w14:paraId="4628BF0F">
      <w:pPr>
        <w:widowControl w:val="0"/>
        <w:autoSpaceDE w:val="0"/>
        <w:autoSpaceDN w:val="0"/>
        <w:spacing w:after="10" w:line="240" w:lineRule="auto"/>
        <w:ind w:left="100"/>
        <w:jc w:val="both"/>
        <w:rPr>
          <w:rFonts w:ascii="Arial" w:hAnsi="Arial" w:eastAsia="Times New Roman" w:cs="Arial"/>
          <w:sz w:val="24"/>
          <w:szCs w:val="24"/>
        </w:rPr>
      </w:pPr>
    </w:p>
    <w:p w14:paraId="1A6C530E">
      <w:pPr>
        <w:widowControl w:val="0"/>
        <w:autoSpaceDE w:val="0"/>
        <w:autoSpaceDN w:val="0"/>
        <w:spacing w:after="10" w:line="240" w:lineRule="auto"/>
        <w:ind w:left="100"/>
        <w:jc w:val="both"/>
        <w:rPr>
          <w:rFonts w:ascii="Arial" w:hAnsi="Arial" w:eastAsia="Times New Roman" w:cs="Arial"/>
          <w:sz w:val="24"/>
          <w:szCs w:val="24"/>
        </w:rPr>
      </w:pPr>
      <w:r>
        <w:rPr>
          <w:rFonts w:ascii="Arial" w:hAnsi="Arial" w:eastAsia="Times New Roman" w:cs="Arial"/>
          <w:sz w:val="24"/>
          <w:szCs w:val="24"/>
        </w:rPr>
        <w:t>Art. 3. Esta Portaria passa a valer a partir da data de sua assinatura.</w:t>
      </w:r>
    </w:p>
    <w:p w14:paraId="343841E1">
      <w:pPr>
        <w:widowControl w:val="0"/>
        <w:autoSpaceDE w:val="0"/>
        <w:autoSpaceDN w:val="0"/>
        <w:spacing w:after="10" w:line="240" w:lineRule="auto"/>
        <w:ind w:left="100"/>
        <w:jc w:val="both"/>
        <w:rPr>
          <w:rFonts w:ascii="Arial" w:hAnsi="Arial" w:eastAsia="Times New Roman" w:cs="Arial"/>
          <w:sz w:val="24"/>
          <w:szCs w:val="24"/>
        </w:rPr>
      </w:pPr>
    </w:p>
    <w:p w14:paraId="5CE4C7C1">
      <w:pPr>
        <w:widowControl w:val="0"/>
        <w:autoSpaceDE w:val="0"/>
        <w:autoSpaceDN w:val="0"/>
        <w:spacing w:after="10" w:line="240" w:lineRule="auto"/>
        <w:ind w:left="100"/>
        <w:jc w:val="both"/>
        <w:rPr>
          <w:rFonts w:ascii="Arial" w:hAnsi="Arial" w:eastAsia="Times New Roman" w:cs="Arial"/>
          <w:sz w:val="24"/>
          <w:szCs w:val="24"/>
        </w:rPr>
      </w:pPr>
    </w:p>
    <w:p w14:paraId="43D097CE">
      <w:pPr>
        <w:widowControl w:val="0"/>
        <w:autoSpaceDE w:val="0"/>
        <w:autoSpaceDN w:val="0"/>
        <w:spacing w:after="10" w:line="240" w:lineRule="auto"/>
        <w:ind w:left="100"/>
        <w:jc w:val="center"/>
        <w:rPr>
          <w:rFonts w:ascii="Arial" w:hAnsi="Arial" w:eastAsia="Times New Roman" w:cs="Arial"/>
          <w:sz w:val="24"/>
          <w:szCs w:val="24"/>
        </w:rPr>
      </w:pPr>
      <w:r>
        <w:rPr>
          <w:rFonts w:ascii="Arial" w:hAnsi="Arial" w:eastAsia="Times New Roman" w:cs="Arial"/>
          <w:sz w:val="24"/>
          <w:szCs w:val="24"/>
        </w:rPr>
        <w:t>Jaboatão dos Guararapes, 11 de outubro de 2024.</w:t>
      </w:r>
    </w:p>
    <w:p w14:paraId="4B02DDAB">
      <w:pPr>
        <w:widowControl w:val="0"/>
        <w:autoSpaceDE w:val="0"/>
        <w:autoSpaceDN w:val="0"/>
        <w:spacing w:after="10" w:line="240" w:lineRule="auto"/>
        <w:ind w:left="100"/>
        <w:jc w:val="center"/>
        <w:rPr>
          <w:rFonts w:ascii="Arial" w:hAnsi="Arial" w:eastAsia="Times New Roman" w:cs="Arial"/>
          <w:sz w:val="24"/>
          <w:szCs w:val="24"/>
        </w:rPr>
      </w:pPr>
    </w:p>
    <w:p w14:paraId="6F05EF26">
      <w:pPr>
        <w:widowControl w:val="0"/>
        <w:autoSpaceDE w:val="0"/>
        <w:autoSpaceDN w:val="0"/>
        <w:spacing w:after="10" w:line="240" w:lineRule="auto"/>
        <w:ind w:left="100"/>
        <w:jc w:val="center"/>
        <w:rPr>
          <w:rFonts w:ascii="Arial" w:hAnsi="Arial" w:eastAsia="Times New Roman" w:cs="Arial"/>
          <w:sz w:val="24"/>
          <w:szCs w:val="24"/>
        </w:rPr>
      </w:pPr>
    </w:p>
    <w:p w14:paraId="55998A0C">
      <w:pPr>
        <w:widowControl w:val="0"/>
        <w:autoSpaceDE w:val="0"/>
        <w:autoSpaceDN w:val="0"/>
        <w:spacing w:after="10" w:line="240" w:lineRule="auto"/>
        <w:ind w:left="100"/>
        <w:jc w:val="center"/>
        <w:rPr>
          <w:rFonts w:ascii="Arial" w:hAnsi="Arial" w:eastAsia="Times New Roman" w:cs="Arial"/>
          <w:sz w:val="24"/>
          <w:szCs w:val="24"/>
        </w:rPr>
      </w:pPr>
    </w:p>
    <w:p w14:paraId="16BF1B64">
      <w:pPr>
        <w:spacing w:after="0" w:line="240" w:lineRule="auto"/>
        <w:ind w:left="-220" w:leftChars="-100"/>
        <w:jc w:val="center"/>
        <w:rPr>
          <w:rFonts w:ascii="Arial" w:hAnsi="Arial" w:eastAsia="Calibri" w:cs="Arial"/>
          <w:b/>
          <w:lang w:eastAsia="en-US"/>
        </w:rPr>
      </w:pPr>
      <w:r>
        <w:rPr>
          <w:rFonts w:ascii="Arial" w:hAnsi="Arial" w:eastAsia="Calibri" w:cs="Arial"/>
          <w:b/>
          <w:lang w:eastAsia="en-US"/>
        </w:rPr>
        <w:t>Pedro Henrique de Carvalho</w:t>
      </w:r>
    </w:p>
    <w:p w14:paraId="1BC2F67B">
      <w:pPr>
        <w:spacing w:after="0" w:line="240" w:lineRule="auto"/>
        <w:ind w:left="-220" w:leftChars="-100"/>
        <w:jc w:val="center"/>
        <w:rPr>
          <w:rFonts w:ascii="Times New Roman" w:hAnsi="Times New Roman" w:eastAsia="Calibri" w:cs="Arial"/>
          <w:sz w:val="24"/>
          <w:szCs w:val="24"/>
          <w:lang w:eastAsia="en-US"/>
        </w:rPr>
      </w:pPr>
      <w:r>
        <w:rPr>
          <w:rFonts w:ascii="Arial" w:hAnsi="Arial" w:eastAsia="Calibri" w:cs="Arial"/>
          <w:b/>
          <w:bCs/>
          <w:lang w:eastAsia="en-US"/>
        </w:rPr>
        <w:t>Secretário Executivo de Turismo, de Cultura e de Laze</w:t>
      </w:r>
      <w:r>
        <w:rPr>
          <w:rFonts w:ascii="Arial" w:hAnsi="Arial" w:eastAsia="Calibri" w:cs="Arial"/>
          <w:lang w:eastAsia="en-US"/>
        </w:rPr>
        <w:t>r</w:t>
      </w:r>
    </w:p>
    <w:p w14:paraId="31376B71">
      <w:pPr>
        <w:jc w:val="center"/>
      </w:pPr>
    </w:p>
    <w:p w14:paraId="4AEFAE91">
      <w:pPr>
        <w:jc w:val="both"/>
      </w:pPr>
    </w:p>
    <w:p w14:paraId="5D627FDE">
      <w:pPr>
        <w:jc w:val="both"/>
      </w:pPr>
    </w:p>
    <w:p w14:paraId="2B1FA904">
      <w:pPr>
        <w:jc w:val="center"/>
      </w:pPr>
    </w:p>
    <w:p w14:paraId="0C0A3BDE">
      <w:pPr>
        <w:jc w:val="center"/>
      </w:pPr>
    </w:p>
    <w:sectPr>
      <w:headerReference r:id="rId5" w:type="default"/>
      <w:footerReference r:id="rId6" w:type="default"/>
      <w:pgSz w:w="11906" w:h="16838"/>
      <w:pgMar w:top="2665" w:right="1134" w:bottom="851" w:left="1701" w:header="709" w:footer="389" w:gutter="0"/>
      <w:pgBorders w:offsetFrom="page">
        <w:top w:val="single" w:color="auto" w:sz="4" w:space="24"/>
        <w:left w:val="single" w:color="auto" w:sz="4" w:space="24"/>
        <w:bottom w:val="single" w:color="auto" w:sz="4" w:space="24"/>
        <w:right w:val="single" w:color="auto" w:sz="4" w:space="24"/>
      </w:pgBorders>
      <w:cols w:space="708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AFF" w:usb1="C0007843" w:usb2="00000009" w:usb3="00000000" w:csb0="400001FF" w:csb1="FFFF0000"/>
  </w:font>
  <w:font w:name="Courier New">
    <w:panose1 w:val="02070309020205020404"/>
    <w:charset w:val="00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SimHei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Tahoma">
    <w:panose1 w:val="020B0604030504040204"/>
    <w:charset w:val="00"/>
    <w:family w:val="swiss"/>
    <w:pitch w:val="default"/>
    <w:sig w:usb0="E1002EFF" w:usb1="C000605B" w:usb2="00000029" w:usb3="00000000" w:csb0="200101FF" w:csb1="20280000"/>
  </w:font>
  <w:font w:name="Arial Narrow">
    <w:panose1 w:val="020B0606020202030204"/>
    <w:charset w:val="00"/>
    <w:family w:val="swiss"/>
    <w:pitch w:val="default"/>
    <w:sig w:usb0="00000287" w:usb1="00000800" w:usb2="00000000" w:usb3="00000000" w:csb0="2000009F" w:csb1="DFD7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FD61D79">
    <w:pPr>
      <w:pStyle w:val="9"/>
      <w:jc w:val="center"/>
      <w:rPr>
        <w:rFonts w:ascii="Arial Narrow" w:hAnsi="Arial Narrow"/>
        <w:b/>
        <w:sz w:val="18"/>
      </w:rPr>
    </w:pPr>
    <w:r>
      <w:rPr>
        <w:rFonts w:ascii="Arial Narrow" w:hAnsi="Arial Narrow"/>
        <w:b/>
        <w:sz w:val="18"/>
      </w:rPr>
      <w:t>PREFEITURA MUNICIPAL DE JABOATÃO DOS GUARARAPES</w:t>
    </w:r>
  </w:p>
  <w:p w14:paraId="7CD7AF70">
    <w:pPr>
      <w:pStyle w:val="9"/>
      <w:jc w:val="center"/>
      <w:rPr>
        <w:rFonts w:ascii="Arial Narrow" w:hAnsi="Arial Narrow"/>
        <w:sz w:val="18"/>
      </w:rPr>
    </w:pPr>
    <w:r>
      <w:rPr>
        <w:rFonts w:ascii="Arial Narrow" w:hAnsi="Arial Narrow"/>
        <w:sz w:val="18"/>
      </w:rPr>
      <w:t>Av. Barreto de Menezes, 1648 - Prazeres - Jaboatão dos Guararapes/PE</w:t>
    </w:r>
  </w:p>
  <w:p w14:paraId="48133784">
    <w:pPr>
      <w:pStyle w:val="9"/>
      <w:jc w:val="center"/>
      <w:rPr>
        <w:rFonts w:ascii="Arial Narrow" w:hAnsi="Arial Narrow"/>
        <w:sz w:val="18"/>
      </w:rPr>
    </w:pPr>
    <w:r>
      <w:rPr>
        <w:rFonts w:ascii="Arial Narrow" w:hAnsi="Arial Narrow"/>
        <w:sz w:val="16"/>
      </w:rPr>
      <w:t xml:space="preserve">CEP: 54330-900 | Fone: (81) 3476-6058 | (81) 3377-8069 </w:t>
    </w:r>
    <w:r>
      <w:rPr>
        <w:rFonts w:ascii="Arial Narrow" w:hAnsi="Arial Narrow"/>
        <w:sz w:val="16"/>
      </w:rPr>
      <w:br w:type="textWrapping"/>
    </w:r>
    <w:r>
      <w:rPr>
        <w:rFonts w:ascii="Arial Narrow" w:hAnsi="Arial Narrow" w:cs="Times New Roman"/>
        <w:sz w:val="16"/>
        <w:szCs w:val="24"/>
      </w:rPr>
      <w:t>www.jaboatao.pe.gov.br</w:t>
    </w:r>
  </w:p>
  <w:p w14:paraId="5A6E1B43">
    <w:pPr>
      <w:pStyle w:val="9"/>
      <w:rPr>
        <w:sz w:val="20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76" w:lineRule="auto"/>
      </w:pPr>
      <w:r>
        <w:separator/>
      </w:r>
    </w:p>
  </w:footnote>
  <w:footnote w:type="continuationSeparator" w:id="1">
    <w:p>
      <w:pPr>
        <w:spacing w:before="0" w:after="0" w:line="276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06CA0F1">
    <w:pPr>
      <w:pStyle w:val="8"/>
    </w:pPr>
  </w:p>
  <w:p w14:paraId="11B21FFA">
    <w:pPr>
      <w:pStyle w:val="8"/>
    </w:pPr>
  </w:p>
  <w:p w14:paraId="47272AAF">
    <w:pPr>
      <w:pStyle w:val="8"/>
      <w:jc w:val="center"/>
    </w:pPr>
    <w:r>
      <w:drawing>
        <wp:inline distT="0" distB="0" distL="0" distR="0">
          <wp:extent cx="1209675" cy="895350"/>
          <wp:effectExtent l="0" t="0" r="9525" b="0"/>
          <wp:docPr id="2" name="Imagem 2" descr="C:\Users\PREFEITURA\Pictures\images.jpg BRASÃO JABOATÃO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agem 2" descr="C:\Users\PREFEITURA\Pictures\images.jpg BRASÃO JABOATÃO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1209675" cy="8953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0E389F59">
    <w:pPr>
      <w:pStyle w:val="8"/>
      <w:tabs>
        <w:tab w:val="left" w:pos="3150"/>
      </w:tabs>
      <w:jc w:val="center"/>
      <w:rPr>
        <w:rFonts w:ascii="Arial" w:hAnsi="Arial" w:cs="Arial"/>
        <w:b/>
        <w:color w:val="444444"/>
        <w:sz w:val="18"/>
        <w:szCs w:val="18"/>
        <w:shd w:val="clear" w:color="auto" w:fill="FFFFFF"/>
      </w:rPr>
    </w:pPr>
    <w:r>
      <w:rPr>
        <w:rFonts w:ascii="Arial" w:hAnsi="Arial" w:cs="Arial"/>
        <w:b/>
        <w:color w:val="444444"/>
        <w:sz w:val="18"/>
        <w:szCs w:val="18"/>
        <w:shd w:val="clear" w:color="auto" w:fill="FFFFFF"/>
      </w:rPr>
      <w:t xml:space="preserve">SECRETARIA DE DESENVOLVIMENTO ECONÔMICO E TURISMO </w:t>
    </w:r>
  </w:p>
  <w:p w14:paraId="55F9B7C7">
    <w:pPr>
      <w:pStyle w:val="8"/>
      <w:tabs>
        <w:tab w:val="left" w:pos="3150"/>
      </w:tabs>
      <w:jc w:val="center"/>
      <w:rPr>
        <w:rFonts w:ascii="Arial" w:hAnsi="Arial" w:cs="Arial"/>
        <w:b/>
        <w:color w:val="444444"/>
        <w:sz w:val="18"/>
        <w:szCs w:val="18"/>
        <w:shd w:val="clear" w:color="auto" w:fill="FFFFFF"/>
      </w:rPr>
    </w:pPr>
    <w:r>
      <w:rPr>
        <w:rFonts w:ascii="Arial" w:hAnsi="Arial" w:cs="Arial"/>
        <w:b/>
        <w:color w:val="444444"/>
        <w:sz w:val="18"/>
        <w:szCs w:val="18"/>
        <w:shd w:val="clear" w:color="auto" w:fill="FFFFFF"/>
      </w:rPr>
      <w:t xml:space="preserve">SECRETARIA EXECUTIVA DE TURISMO, CULTURA E LAZER  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documentProtection w:enforcement="0"/>
  <w:defaultTabStop w:val="709"/>
  <w:hyphenationZone w:val="425"/>
  <w:characterSpacingControl w:val="doNotCompress"/>
  <w:footnotePr>
    <w:footnote w:id="0"/>
    <w:footnote w:id="1"/>
  </w:footnotePr>
  <w:endnotePr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A5E64"/>
    <w:rsid w:val="00004135"/>
    <w:rsid w:val="00006738"/>
    <w:rsid w:val="00006B7D"/>
    <w:rsid w:val="000219C5"/>
    <w:rsid w:val="0003699C"/>
    <w:rsid w:val="000371A1"/>
    <w:rsid w:val="000528AD"/>
    <w:rsid w:val="00063161"/>
    <w:rsid w:val="00084A91"/>
    <w:rsid w:val="0009112B"/>
    <w:rsid w:val="00094390"/>
    <w:rsid w:val="000967EA"/>
    <w:rsid w:val="000A2CC2"/>
    <w:rsid w:val="000B46D7"/>
    <w:rsid w:val="000C1267"/>
    <w:rsid w:val="000E07B9"/>
    <w:rsid w:val="000F58D6"/>
    <w:rsid w:val="000F6437"/>
    <w:rsid w:val="00101EC4"/>
    <w:rsid w:val="00114D5F"/>
    <w:rsid w:val="00134C49"/>
    <w:rsid w:val="0015405C"/>
    <w:rsid w:val="00155A87"/>
    <w:rsid w:val="0016601B"/>
    <w:rsid w:val="00175C99"/>
    <w:rsid w:val="001C22D3"/>
    <w:rsid w:val="001D1494"/>
    <w:rsid w:val="001D46A3"/>
    <w:rsid w:val="00205B83"/>
    <w:rsid w:val="00210D8E"/>
    <w:rsid w:val="00220CFA"/>
    <w:rsid w:val="00245537"/>
    <w:rsid w:val="00266312"/>
    <w:rsid w:val="00271D9E"/>
    <w:rsid w:val="00280C55"/>
    <w:rsid w:val="002833B5"/>
    <w:rsid w:val="002B3193"/>
    <w:rsid w:val="002C0085"/>
    <w:rsid w:val="002C2CE1"/>
    <w:rsid w:val="002D5393"/>
    <w:rsid w:val="002D5625"/>
    <w:rsid w:val="002D75C5"/>
    <w:rsid w:val="002E1025"/>
    <w:rsid w:val="002F1238"/>
    <w:rsid w:val="002F6625"/>
    <w:rsid w:val="00303285"/>
    <w:rsid w:val="00303711"/>
    <w:rsid w:val="0030384F"/>
    <w:rsid w:val="00310182"/>
    <w:rsid w:val="003102CB"/>
    <w:rsid w:val="00332764"/>
    <w:rsid w:val="0033732E"/>
    <w:rsid w:val="00363432"/>
    <w:rsid w:val="00372BA5"/>
    <w:rsid w:val="00383A86"/>
    <w:rsid w:val="003974FA"/>
    <w:rsid w:val="003B6D17"/>
    <w:rsid w:val="003C1A52"/>
    <w:rsid w:val="003C2A8B"/>
    <w:rsid w:val="003D065B"/>
    <w:rsid w:val="003F5DA9"/>
    <w:rsid w:val="003F68E0"/>
    <w:rsid w:val="00404249"/>
    <w:rsid w:val="0042048D"/>
    <w:rsid w:val="00442E4F"/>
    <w:rsid w:val="004441EB"/>
    <w:rsid w:val="0045568F"/>
    <w:rsid w:val="00456390"/>
    <w:rsid w:val="004A74EF"/>
    <w:rsid w:val="004B7B0C"/>
    <w:rsid w:val="004F28C5"/>
    <w:rsid w:val="004F7365"/>
    <w:rsid w:val="00517FD4"/>
    <w:rsid w:val="00534865"/>
    <w:rsid w:val="00544D78"/>
    <w:rsid w:val="0056634B"/>
    <w:rsid w:val="00567B0E"/>
    <w:rsid w:val="005A1FC1"/>
    <w:rsid w:val="005A2358"/>
    <w:rsid w:val="005A3709"/>
    <w:rsid w:val="005A371F"/>
    <w:rsid w:val="005A5E64"/>
    <w:rsid w:val="005D6922"/>
    <w:rsid w:val="005D774F"/>
    <w:rsid w:val="005E0DF9"/>
    <w:rsid w:val="005E481E"/>
    <w:rsid w:val="00601CB5"/>
    <w:rsid w:val="00607ED1"/>
    <w:rsid w:val="00610A2E"/>
    <w:rsid w:val="00646220"/>
    <w:rsid w:val="00646FD7"/>
    <w:rsid w:val="00662F7A"/>
    <w:rsid w:val="00675880"/>
    <w:rsid w:val="0067790E"/>
    <w:rsid w:val="00693032"/>
    <w:rsid w:val="006A488A"/>
    <w:rsid w:val="006B3BA6"/>
    <w:rsid w:val="006B5633"/>
    <w:rsid w:val="006B5AB8"/>
    <w:rsid w:val="006C51B9"/>
    <w:rsid w:val="006E2387"/>
    <w:rsid w:val="006E2CB6"/>
    <w:rsid w:val="006F6B60"/>
    <w:rsid w:val="00712BA9"/>
    <w:rsid w:val="00733EDF"/>
    <w:rsid w:val="007610B1"/>
    <w:rsid w:val="00783B6D"/>
    <w:rsid w:val="0079327A"/>
    <w:rsid w:val="00794D35"/>
    <w:rsid w:val="007B3F3B"/>
    <w:rsid w:val="007D659C"/>
    <w:rsid w:val="007E3DF4"/>
    <w:rsid w:val="007F302A"/>
    <w:rsid w:val="007F56F1"/>
    <w:rsid w:val="007F64CB"/>
    <w:rsid w:val="007F763F"/>
    <w:rsid w:val="008163A8"/>
    <w:rsid w:val="00820F2E"/>
    <w:rsid w:val="00822AC0"/>
    <w:rsid w:val="0082335A"/>
    <w:rsid w:val="008404B0"/>
    <w:rsid w:val="008414AB"/>
    <w:rsid w:val="0086155A"/>
    <w:rsid w:val="00862642"/>
    <w:rsid w:val="008A29D1"/>
    <w:rsid w:val="008B1BA3"/>
    <w:rsid w:val="008E2B1D"/>
    <w:rsid w:val="008F2E51"/>
    <w:rsid w:val="0090196B"/>
    <w:rsid w:val="00901EA7"/>
    <w:rsid w:val="00905D70"/>
    <w:rsid w:val="00906598"/>
    <w:rsid w:val="00912B7D"/>
    <w:rsid w:val="009252BD"/>
    <w:rsid w:val="009438EF"/>
    <w:rsid w:val="00950C9D"/>
    <w:rsid w:val="009764C7"/>
    <w:rsid w:val="009851E1"/>
    <w:rsid w:val="00987AC5"/>
    <w:rsid w:val="00991ADF"/>
    <w:rsid w:val="00996958"/>
    <w:rsid w:val="009A2C30"/>
    <w:rsid w:val="009B1AF2"/>
    <w:rsid w:val="009B6958"/>
    <w:rsid w:val="009C32E8"/>
    <w:rsid w:val="009C7AB4"/>
    <w:rsid w:val="009E6405"/>
    <w:rsid w:val="009E774B"/>
    <w:rsid w:val="009F1E5C"/>
    <w:rsid w:val="009F42B8"/>
    <w:rsid w:val="00A01F3D"/>
    <w:rsid w:val="00A075A2"/>
    <w:rsid w:val="00A26BF7"/>
    <w:rsid w:val="00A47987"/>
    <w:rsid w:val="00A51C48"/>
    <w:rsid w:val="00A67627"/>
    <w:rsid w:val="00A72881"/>
    <w:rsid w:val="00A80989"/>
    <w:rsid w:val="00A92799"/>
    <w:rsid w:val="00A97183"/>
    <w:rsid w:val="00A973DE"/>
    <w:rsid w:val="00AA2B04"/>
    <w:rsid w:val="00AB0E10"/>
    <w:rsid w:val="00AB7316"/>
    <w:rsid w:val="00AC0018"/>
    <w:rsid w:val="00AD0259"/>
    <w:rsid w:val="00AD3DA4"/>
    <w:rsid w:val="00AD4600"/>
    <w:rsid w:val="00AE5BD2"/>
    <w:rsid w:val="00B01F79"/>
    <w:rsid w:val="00B32C5F"/>
    <w:rsid w:val="00B45504"/>
    <w:rsid w:val="00B529A3"/>
    <w:rsid w:val="00B65225"/>
    <w:rsid w:val="00B845E2"/>
    <w:rsid w:val="00B8487E"/>
    <w:rsid w:val="00B85E4E"/>
    <w:rsid w:val="00B962B5"/>
    <w:rsid w:val="00B971DC"/>
    <w:rsid w:val="00BA355E"/>
    <w:rsid w:val="00BB0C53"/>
    <w:rsid w:val="00BB5211"/>
    <w:rsid w:val="00BD2CD6"/>
    <w:rsid w:val="00BD7533"/>
    <w:rsid w:val="00BE39B6"/>
    <w:rsid w:val="00BE77F7"/>
    <w:rsid w:val="00BF4D6F"/>
    <w:rsid w:val="00C05073"/>
    <w:rsid w:val="00C2128A"/>
    <w:rsid w:val="00C32ED8"/>
    <w:rsid w:val="00C356E9"/>
    <w:rsid w:val="00C51572"/>
    <w:rsid w:val="00C63ADB"/>
    <w:rsid w:val="00C76B5D"/>
    <w:rsid w:val="00C853DC"/>
    <w:rsid w:val="00CA63C0"/>
    <w:rsid w:val="00CB3331"/>
    <w:rsid w:val="00CD2BB6"/>
    <w:rsid w:val="00CF5592"/>
    <w:rsid w:val="00CF6477"/>
    <w:rsid w:val="00D02B32"/>
    <w:rsid w:val="00D12EB1"/>
    <w:rsid w:val="00D26F91"/>
    <w:rsid w:val="00D31338"/>
    <w:rsid w:val="00D31B7F"/>
    <w:rsid w:val="00D400D1"/>
    <w:rsid w:val="00D44D73"/>
    <w:rsid w:val="00D536A2"/>
    <w:rsid w:val="00D70829"/>
    <w:rsid w:val="00D71C34"/>
    <w:rsid w:val="00D93DD5"/>
    <w:rsid w:val="00DB0720"/>
    <w:rsid w:val="00DB3327"/>
    <w:rsid w:val="00DB3D49"/>
    <w:rsid w:val="00DC1433"/>
    <w:rsid w:val="00DD73A8"/>
    <w:rsid w:val="00DD7EFC"/>
    <w:rsid w:val="00DF13AC"/>
    <w:rsid w:val="00DF3A73"/>
    <w:rsid w:val="00E1311A"/>
    <w:rsid w:val="00E517DE"/>
    <w:rsid w:val="00E57D96"/>
    <w:rsid w:val="00E61D8B"/>
    <w:rsid w:val="00E65C7E"/>
    <w:rsid w:val="00E877E0"/>
    <w:rsid w:val="00E9040A"/>
    <w:rsid w:val="00E9364D"/>
    <w:rsid w:val="00E95013"/>
    <w:rsid w:val="00EA32C1"/>
    <w:rsid w:val="00EC1820"/>
    <w:rsid w:val="00EE3373"/>
    <w:rsid w:val="00EE63D3"/>
    <w:rsid w:val="00EF0AB7"/>
    <w:rsid w:val="00F05B3B"/>
    <w:rsid w:val="00F0637A"/>
    <w:rsid w:val="00F06926"/>
    <w:rsid w:val="00F07647"/>
    <w:rsid w:val="00F1743C"/>
    <w:rsid w:val="00F23FF6"/>
    <w:rsid w:val="00F24F34"/>
    <w:rsid w:val="00F25323"/>
    <w:rsid w:val="00F30D49"/>
    <w:rsid w:val="00F43CAD"/>
    <w:rsid w:val="00F452BD"/>
    <w:rsid w:val="00F54CDC"/>
    <w:rsid w:val="00F55390"/>
    <w:rsid w:val="00F56535"/>
    <w:rsid w:val="00F710F9"/>
    <w:rsid w:val="00F77C22"/>
    <w:rsid w:val="00F85CB1"/>
    <w:rsid w:val="00F9022F"/>
    <w:rsid w:val="00F91FCE"/>
    <w:rsid w:val="00FB242A"/>
    <w:rsid w:val="00FE0A2D"/>
    <w:rsid w:val="00FE49E2"/>
    <w:rsid w:val="00FE7E3E"/>
    <w:rsid w:val="00FF6747"/>
    <w:rsid w:val="19587ADF"/>
    <w:rsid w:val="2A201231"/>
    <w:rsid w:val="2B396C00"/>
    <w:rsid w:val="2D320005"/>
    <w:rsid w:val="32EE5A1E"/>
    <w:rsid w:val="34873043"/>
    <w:rsid w:val="446C7F40"/>
    <w:rsid w:val="5D92691B"/>
    <w:rsid w:val="64801AB7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pt-BR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0" w:semiHidden="0" w:name="header"/>
    <w:lsdException w:qFormat="1" w:uiPriority="0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99" w:semiHidden="0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iPriority="99" w:semiHidden="0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qFormat="1" w:unhideWhenUsed="0" w:uiPriority="59" w:semiHidden="0" w:name="Table Grid"/>
    <w:lsdException w:uiPriority="99" w:name="Table Theme"/>
    <w:lsdException w:qFormat="1" w:unhideWhenUsed="0" w:uiPriority="34" w:semiHidden="0" w:name="List Paragraph"/>
  </w:latentStyles>
  <w:style w:type="paragraph" w:default="1" w:styleId="1">
    <w:name w:val="Normal"/>
    <w:qFormat/>
    <w:uiPriority w:val="0"/>
    <w:pPr>
      <w:spacing w:after="200" w:line="276" w:lineRule="auto"/>
    </w:pPr>
    <w:rPr>
      <w:rFonts w:asciiTheme="minorHAnsi" w:hAnsiTheme="minorHAnsi" w:eastAsiaTheme="minorEastAsia" w:cstheme="minorBidi"/>
      <w:sz w:val="22"/>
      <w:szCs w:val="22"/>
      <w:lang w:val="pt-BR" w:eastAsia="pt-BR" w:bidi="ar-SA"/>
    </w:rPr>
  </w:style>
  <w:style w:type="character" w:default="1" w:styleId="2">
    <w:name w:val="Default Paragraph Font"/>
    <w:semiHidden/>
    <w:unhideWhenUsed/>
    <w:uiPriority w:val="1"/>
  </w:style>
  <w:style w:type="table" w:default="1" w:styleId="3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styleId="4">
    <w:name w:val="Strong"/>
    <w:basedOn w:val="2"/>
    <w:qFormat/>
    <w:uiPriority w:val="22"/>
    <w:rPr>
      <w:b/>
      <w:bCs/>
    </w:rPr>
  </w:style>
  <w:style w:type="character" w:styleId="5">
    <w:name w:val="Emphasis"/>
    <w:basedOn w:val="2"/>
    <w:qFormat/>
    <w:uiPriority w:val="20"/>
    <w:rPr>
      <w:i/>
      <w:iCs/>
    </w:rPr>
  </w:style>
  <w:style w:type="character" w:styleId="6">
    <w:name w:val="Hyperlink"/>
    <w:basedOn w:val="2"/>
    <w:unhideWhenUsed/>
    <w:qFormat/>
    <w:uiPriority w:val="99"/>
    <w:rPr>
      <w:color w:val="0000FF" w:themeColor="hyperlink"/>
      <w:u w:val="single"/>
      <w14:textFill>
        <w14:solidFill>
          <w14:schemeClr w14:val="hlink"/>
        </w14:solidFill>
      </w14:textFill>
    </w:rPr>
  </w:style>
  <w:style w:type="paragraph" w:styleId="7">
    <w:name w:val="Normal (Web)"/>
    <w:basedOn w:val="1"/>
    <w:unhideWhenUsed/>
    <w:qFormat/>
    <w:uiPriority w:val="99"/>
    <w:pPr>
      <w:spacing w:before="100" w:beforeAutospacing="1" w:after="100" w:afterAutospacing="1" w:line="240" w:lineRule="auto"/>
    </w:pPr>
    <w:rPr>
      <w:rFonts w:ascii="Times New Roman" w:hAnsi="Times New Roman" w:eastAsia="Times New Roman" w:cs="Times New Roman"/>
      <w:sz w:val="24"/>
      <w:szCs w:val="24"/>
    </w:rPr>
  </w:style>
  <w:style w:type="paragraph" w:styleId="8">
    <w:name w:val="header"/>
    <w:basedOn w:val="1"/>
    <w:link w:val="12"/>
    <w:unhideWhenUsed/>
    <w:qFormat/>
    <w:uiPriority w:val="0"/>
    <w:pPr>
      <w:tabs>
        <w:tab w:val="center" w:pos="4252"/>
        <w:tab w:val="right" w:pos="8504"/>
      </w:tabs>
      <w:spacing w:after="0" w:line="240" w:lineRule="auto"/>
    </w:pPr>
  </w:style>
  <w:style w:type="paragraph" w:styleId="9">
    <w:name w:val="footer"/>
    <w:basedOn w:val="1"/>
    <w:link w:val="13"/>
    <w:unhideWhenUsed/>
    <w:qFormat/>
    <w:uiPriority w:val="0"/>
    <w:pPr>
      <w:tabs>
        <w:tab w:val="center" w:pos="4252"/>
        <w:tab w:val="right" w:pos="8504"/>
      </w:tabs>
      <w:spacing w:after="0" w:line="240" w:lineRule="auto"/>
    </w:pPr>
  </w:style>
  <w:style w:type="paragraph" w:styleId="10">
    <w:name w:val="Balloon Text"/>
    <w:basedOn w:val="1"/>
    <w:link w:val="14"/>
    <w:semiHidden/>
    <w:unhideWhenUsed/>
    <w:qFormat/>
    <w:uiPriority w:val="99"/>
    <w:pPr>
      <w:spacing w:after="0" w:line="240" w:lineRule="auto"/>
    </w:pPr>
    <w:rPr>
      <w:rFonts w:ascii="Tahoma" w:hAnsi="Tahoma" w:cs="Tahoma"/>
      <w:sz w:val="16"/>
      <w:szCs w:val="16"/>
    </w:rPr>
  </w:style>
  <w:style w:type="table" w:styleId="11">
    <w:name w:val="Table Grid"/>
    <w:basedOn w:val="3"/>
    <w:qFormat/>
    <w:uiPriority w:val="59"/>
    <w:tblPr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12">
    <w:name w:val="Cabeçalho Char"/>
    <w:basedOn w:val="2"/>
    <w:link w:val="8"/>
    <w:qFormat/>
    <w:uiPriority w:val="0"/>
  </w:style>
  <w:style w:type="character" w:customStyle="1" w:styleId="13">
    <w:name w:val="Rodapé Char"/>
    <w:basedOn w:val="2"/>
    <w:link w:val="9"/>
    <w:qFormat/>
    <w:uiPriority w:val="0"/>
  </w:style>
  <w:style w:type="character" w:customStyle="1" w:styleId="14">
    <w:name w:val="Texto de balão Char"/>
    <w:basedOn w:val="2"/>
    <w:link w:val="10"/>
    <w:semiHidden/>
    <w:qFormat/>
    <w:uiPriority w:val="99"/>
    <w:rPr>
      <w:rFonts w:ascii="Tahoma" w:hAnsi="Tahoma" w:cs="Tahoma"/>
      <w:sz w:val="16"/>
      <w:szCs w:val="16"/>
    </w:rPr>
  </w:style>
  <w:style w:type="paragraph" w:styleId="15">
    <w:name w:val="List Paragraph"/>
    <w:basedOn w:val="1"/>
    <w:qFormat/>
    <w:uiPriority w:val="34"/>
    <w:pPr>
      <w:ind w:left="720"/>
      <w:contextualSpacing/>
    </w:pPr>
  </w:style>
  <w:style w:type="table" w:customStyle="1" w:styleId="16">
    <w:name w:val="Tabela com grade1"/>
    <w:basedOn w:val="3"/>
    <w:qFormat/>
    <w:uiPriority w:val="59"/>
    <w:rPr>
      <w:rFonts w:eastAsia="Calibri"/>
      <w:lang w:eastAsia="en-US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17">
    <w:name w:val="textbody"/>
    <w:basedOn w:val="1"/>
    <w:qFormat/>
    <w:uiPriority w:val="0"/>
    <w:pPr>
      <w:spacing w:before="100" w:beforeAutospacing="1" w:after="100" w:afterAutospacing="1" w:line="240" w:lineRule="auto"/>
    </w:pPr>
    <w:rPr>
      <w:rFonts w:ascii="Times New Roman" w:hAnsi="Times New Roman" w:eastAsia="Times New Roman" w:cs="Times New Roman"/>
      <w:sz w:val="24"/>
      <w:szCs w:val="24"/>
    </w:rPr>
  </w:style>
  <w:style w:type="table" w:customStyle="1" w:styleId="18">
    <w:name w:val="Tabela com grade2"/>
    <w:basedOn w:val="3"/>
    <w:qFormat/>
    <w:uiPriority w:val="59"/>
    <w:rPr>
      <w:rFonts w:ascii="Calibri" w:hAnsi="Calibri" w:eastAsia="Calibri" w:cs="Times New Roman"/>
      <w:kern w:val="2"/>
      <w:sz w:val="22"/>
      <w:szCs w:val="22"/>
      <w:lang w:eastAsia="en-US"/>
      <w14:ligatures w14:val="standardContextual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ntTable" Target="fontTable.xml"/><Relationship Id="rId8" Type="http://schemas.openxmlformats.org/officeDocument/2006/relationships/customXml" Target="../customXml/item1.xml"/><Relationship Id="rId7" Type="http://schemas.openxmlformats.org/officeDocument/2006/relationships/theme" Target="theme/theme1.xml"/><Relationship Id="rId6" Type="http://schemas.openxmlformats.org/officeDocument/2006/relationships/footer" Target="footer1.xml"/><Relationship Id="rId5" Type="http://schemas.openxmlformats.org/officeDocument/2006/relationships/header" Target="head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2F6F01E-C091-4C2D-BCA5-17469B1BD51F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Hewlett-Packard Company</Company>
  <Pages>2</Pages>
  <Words>327</Words>
  <Characters>1770</Characters>
  <Lines>14</Lines>
  <Paragraphs>4</Paragraphs>
  <TotalTime>22</TotalTime>
  <ScaleCrop>false</ScaleCrop>
  <LinksUpToDate>false</LinksUpToDate>
  <CharactersWithSpaces>2093</CharactersWithSpaces>
  <Application>WPS Office_12.2.0.18586_F1E327BC-269C-435d-A152-05C5408002CA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2024-10-10T17:38:00Z</dcterms:created>
  <dc:creator>André Hugo</dc:creator>
  <cp:lastModifiedBy>karina.barretto</cp:lastModifiedBy>
  <cp:lastPrinted>2023-09-19T21:53:00Z</cp:lastPrinted>
  <dcterms:modified xsi:type="dcterms:W3CDTF">2024-10-11T12:58:52Z</dcterms:modified>
  <cp:revision>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1046-12.2.0.18586</vt:lpwstr>
  </property>
  <property fmtid="{D5CDD505-2E9C-101B-9397-08002B2CF9AE}" pid="3" name="ICV">
    <vt:lpwstr>90EF0C096106415DBBDDB14F13F7CE48_13</vt:lpwstr>
  </property>
</Properties>
</file>