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-485774</wp:posOffset>
          </wp:positionH>
          <wp:positionV relativeFrom="paragraph">
            <wp:posOffset>171450</wp:posOffset>
          </wp:positionV>
          <wp:extent cx="2975974" cy="657225"/>
          <wp:effectExtent b="0" l="0" r="0" t="0"/>
          <wp:wrapNone/>
          <wp:docPr descr="Logotipo, Ícone&#10;&#10;O conteúdo gerado por IA pode estar incorreto." id="287168646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75974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2657475</wp:posOffset>
          </wp:positionH>
          <wp:positionV relativeFrom="paragraph">
            <wp:posOffset>-219074</wp:posOffset>
          </wp:positionV>
          <wp:extent cx="2962275" cy="656364"/>
          <wp:effectExtent b="0" l="0" r="0" t="0"/>
          <wp:wrapNone/>
          <wp:docPr descr="Logotipo, Ícone&#10;&#10;O conteúdo gerado por IA pode estar incorreto." id="287168647" name="image3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563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464B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464B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464B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64B29"/>
    <w:rPr>
      <w:b w:val="1"/>
      <w:bCs w:val="1"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yEWQJbX6NWBXvis5fsJYKMU4A==">CgMxLjA4AHIhMXBWZmlZel9IMXZabU9BTUsxZXptTzRtRlFyWnhvT3ls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